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44" w:rsidRPr="00B20652" w:rsidRDefault="00AC1C2C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B20652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B20652" w:rsidRDefault="009807FD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52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B2065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B20652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FC1544" w:rsidRPr="00B20652" w:rsidRDefault="00FC1544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B20652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B20652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B20652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B20652">
        <w:rPr>
          <w:rFonts w:ascii="Times New Roman" w:hAnsi="Times New Roman" w:cs="Times New Roman"/>
          <w:b/>
          <w:lang w:eastAsia="uk-UA"/>
        </w:rPr>
        <w:t xml:space="preserve">повідомляє про проведення відкритих торгів (аукціону) </w:t>
      </w:r>
      <w:r w:rsidR="009807FD" w:rsidRPr="00B20652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B20652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0465"/>
        <w:gridCol w:w="3119"/>
      </w:tblGrid>
      <w:tr w:rsidR="00782209" w:rsidRPr="00B20652" w:rsidTr="008920FD">
        <w:trPr>
          <w:trHeight w:val="5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B20652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B20652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Найменування активу/стислий опис </w:t>
            </w:r>
            <w:r w:rsidR="009C664D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активу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B20652" w:rsidRDefault="00782209" w:rsidP="0088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(без ПДВ, згідно чинного законодавства)</w:t>
            </w:r>
          </w:p>
        </w:tc>
      </w:tr>
      <w:tr w:rsidR="00782209" w:rsidRPr="00B20652" w:rsidTr="008920FD">
        <w:trPr>
          <w:trHeight w:val="1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B20652" w:rsidRDefault="008920FD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АА207N000004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F74F56" w:rsidRPr="00B20652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2D49DB"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>нерухомого майна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</w:t>
            </w:r>
            <w:r w:rsidR="004832F3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D49DB"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саме: </w:t>
            </w:r>
            <w:r w:rsidR="00A35B45"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6A51D5"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>емельна ділянка площею 3,2502 га, цільове призначення – 02</w:t>
            </w:r>
            <w:r w:rsidR="00FB69FF"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A51D5"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>01 для будівництва і обслуговування житлового будинку, господарських будівель і споруд (присадибна ділянка), с. Дзвінкове Васильківського району Київської області, кадастровий №3221482201:01:027:0005</w:t>
            </w:r>
            <w:r w:rsidR="002D49DB" w:rsidRPr="00B20652">
              <w:rPr>
                <w:rStyle w:val="21"/>
                <w:rFonts w:eastAsiaTheme="minorHAnsi"/>
                <w:b/>
                <w:sz w:val="20"/>
                <w:szCs w:val="20"/>
              </w:rPr>
              <w:t>,</w:t>
            </w:r>
            <w:r w:rsidR="009D103A" w:rsidRPr="00B20652">
              <w:rPr>
                <w:rStyle w:val="21"/>
                <w:rFonts w:eastAsiaTheme="minorHAnsi"/>
                <w:b/>
                <w:sz w:val="20"/>
                <w:szCs w:val="20"/>
              </w:rPr>
              <w:t xml:space="preserve"> </w:t>
            </w:r>
            <w:r w:rsidR="009D103A"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>реєстраційний номер об’єкту нерухомого майна 2195174632214,</w:t>
            </w:r>
            <w:r w:rsidR="002D49DB" w:rsidRPr="00B20652">
              <w:rPr>
                <w:rStyle w:val="21"/>
                <w:rFonts w:eastAsiaTheme="minorHAnsi"/>
                <w:b/>
                <w:sz w:val="20"/>
                <w:szCs w:val="20"/>
              </w:rPr>
              <w:t xml:space="preserve"> </w:t>
            </w:r>
            <w:r w:rsidR="00F66555"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яка належить Іпотекодавцю на праві власності </w:t>
            </w:r>
            <w:r w:rsidR="00FA4FDF"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>та знаходиться у його володінні та управлінні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і є </w:t>
            </w:r>
            <w:r w:rsidR="00011275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предметом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іпотеки АТ «БАНК СІЧ».</w:t>
            </w:r>
          </w:p>
          <w:p w:rsidR="00F74F56" w:rsidRPr="00B20652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</w:p>
          <w:p w:rsidR="00782209" w:rsidRPr="00B20652" w:rsidRDefault="00F74F56" w:rsidP="0062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2D49DB" w:rsidRPr="00B20652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нерухоме майно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реалізується відповідно до умов Договору іпотеки та порядку встановленому ст. 38 Закону України "Про іпотеку", з подальшим укладенням </w:t>
            </w:r>
            <w:r w:rsidR="00011275" w:rsidRPr="00B20652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І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потекодержателем від свого імені договору купівлі-продажу предмета іпотеки з іншою особою – покупцем, за результатами аукціону проведеного в електронній торговій системі Prozorro.Продажі та у 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B20652" w:rsidRDefault="00C50D6D" w:rsidP="000E5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25</w:t>
            </w:r>
            <w:r w:rsidR="00782209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F74F56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6A51D5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3 147 108</w:t>
            </w:r>
            <w:r w:rsidR="00C114B1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,00</w:t>
            </w:r>
          </w:p>
        </w:tc>
      </w:tr>
    </w:tbl>
    <w:p w:rsidR="00C24C7C" w:rsidRPr="00B20652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B20652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B20652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B20652">
              <w:rPr>
                <w:b/>
              </w:rPr>
              <w:t>АКЦІОНЕРНЕ ТОВАРИСТВО «БАНК СІЧ»</w:t>
            </w:r>
          </w:p>
          <w:p w:rsidR="00EF0578" w:rsidRPr="00B20652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B2065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B20652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B20652">
              <w:rPr>
                <w:b/>
                <w:bCs/>
                <w:sz w:val="20"/>
                <w:szCs w:val="20"/>
              </w:rPr>
              <w:t> </w:t>
            </w:r>
            <w:r w:rsidR="00782209" w:rsidRPr="00B20652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B20652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B20652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114B1" w:rsidRPr="00B20652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B20652">
              <w:rPr>
                <w:b/>
              </w:rPr>
              <w:t>Товариство з обмеженою відповідальністю «Українська універсальна біржа»</w:t>
            </w:r>
          </w:p>
          <w:p w:rsidR="00782209" w:rsidRPr="00B20652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B20652">
              <w:rPr>
                <w:b/>
                <w:bCs/>
                <w:sz w:val="20"/>
                <w:szCs w:val="20"/>
              </w:rPr>
              <w:t> </w:t>
            </w:r>
            <w:hyperlink r:id="rId6" w:tgtFrame="_blank" w:history="1">
              <w:r w:rsidRPr="00B20652">
                <w:rPr>
                  <w:b/>
                  <w:bCs/>
                  <w:sz w:val="20"/>
                  <w:szCs w:val="20"/>
                </w:rPr>
                <w:t>https://sale.uub.com.ua/</w:t>
              </w:r>
            </w:hyperlink>
          </w:p>
        </w:tc>
      </w:tr>
      <w:tr w:rsidR="00EF0578" w:rsidRPr="00B20652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B20652" w:rsidRDefault="00765442" w:rsidP="00011275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B20652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B20652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B20652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B20652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B20652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B20652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011275" w:rsidP="00985C5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оператора на електронному майданчику якого зареєструвався учасник.</w:t>
            </w:r>
          </w:p>
        </w:tc>
      </w:tr>
      <w:tr w:rsidR="00EF0578" w:rsidRPr="00B20652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B20652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27D72" w:rsidRPr="00B20652" w:rsidRDefault="00127D72" w:rsidP="00127D72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Для ознайомлення з документами по майну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127D72" w:rsidRPr="00B20652" w:rsidRDefault="00127D72" w:rsidP="00127D7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АТ «БАНК СІЧ»</w:t>
            </w:r>
            <w:r w:rsidR="0002662A">
              <w:rPr>
                <w:b/>
                <w:bCs/>
                <w:color w:val="333333"/>
                <w:sz w:val="20"/>
                <w:szCs w:val="20"/>
                <w:lang w:val="ru-RU"/>
              </w:rPr>
              <w:t>,</w:t>
            </w:r>
            <w:r w:rsidRPr="00B20652">
              <w:rPr>
                <w:b/>
                <w:bCs/>
                <w:color w:val="333333"/>
                <w:sz w:val="20"/>
                <w:szCs w:val="20"/>
              </w:rPr>
              <w:t xml:space="preserve"> м. Київ, пров. Несторівський, буд. 6</w:t>
            </w:r>
          </w:p>
          <w:p w:rsidR="00A76F37" w:rsidRPr="00B20652" w:rsidRDefault="00127D72" w:rsidP="00127D7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B20652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B20652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Рудаковська Анжеліка </w:t>
            </w:r>
            <w:r w:rsidR="00EF0578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</w:t>
            </w:r>
            <w:r w:rsidR="00F74F56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EF0578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B20652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B20652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lastRenderedPageBreak/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C50D6D" w:rsidP="000E5860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25</w:t>
            </w:r>
            <w:r w:rsidR="00EF0578" w:rsidRPr="00B20652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B20652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B20652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B20652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веб-сайті оператора електронного майданчика</w:t>
            </w:r>
          </w:p>
        </w:tc>
      </w:tr>
      <w:tr w:rsidR="00EF0578" w:rsidRPr="00B20652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B20652" w:rsidRDefault="00EF0578" w:rsidP="00C50D6D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C50D6D">
              <w:rPr>
                <w:b/>
                <w:bCs/>
                <w:color w:val="333333"/>
                <w:sz w:val="20"/>
                <w:szCs w:val="20"/>
              </w:rPr>
              <w:t>24</w:t>
            </w:r>
            <w:r w:rsidRPr="00B20652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B20652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B20652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B20652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183A57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B20652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B20652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C50D6D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24</w:t>
            </w:r>
            <w:r w:rsidR="00EF0578" w:rsidRPr="00B20652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B20652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B20652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B20652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</w:t>
            </w:r>
            <w:r w:rsidR="00F74F56"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електронного майданчика </w:t>
            </w:r>
            <w:r w:rsidRPr="00B2065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B20652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20652" w:rsidRDefault="00011275" w:rsidP="007C0BE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275188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 протязі 6 (шести) робочих днів з дня наступного за днем його формування.</w:t>
            </w:r>
            <w:r w:rsidRPr="00B20652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Pr="00B20652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дати формування ЦБД протоколу електронного аукціону, з урахуванням Регламенту ЕТС.</w:t>
            </w:r>
          </w:p>
          <w:p w:rsidR="00011275" w:rsidRPr="00B20652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B2065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011275" w:rsidRPr="00B20652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B2065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 xml:space="preserve">∙ якщо переможець відкритих торгів (аукціону) не виконав зобов’язання з підписання електронного протоколу, повного розрахунку за майно та укладання </w:t>
            </w:r>
            <w:r w:rsidRPr="00B2065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lastRenderedPageBreak/>
              <w:t>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011275" w:rsidRPr="00B20652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B2065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B20652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B20652">
              <w:rPr>
                <w:b/>
                <w:bCs/>
                <w:color w:val="333333"/>
                <w:sz w:val="20"/>
                <w:szCs w:val="20"/>
              </w:rPr>
              <w:t>, який розміщений на веб-сайті оператора електронного майданчика відкритих торгів (аукціонів), та зобов’язаний у разі визнання його переможцем сплатити такому оператору електронного майданчика відкритих торгів (аукціонів) винагороду за проведення аукціону.</w:t>
            </w:r>
          </w:p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 відкриті торги (аукціон), другі повторні відкриті торги (аукціон) відбуваються у випадку, якщо не відбулись попередні відкриті торги (аукціон).</w:t>
            </w:r>
          </w:p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Всі витрати у зв’язку з укладанням та реєстрації договорів купівлі-продажу несе покупець.</w:t>
            </w:r>
          </w:p>
          <w:p w:rsidR="00011275" w:rsidRPr="00B20652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275188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20652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B20652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B20652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B20652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275188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275188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275"/>
    <w:rsid w:val="0002662A"/>
    <w:rsid w:val="000A1AC9"/>
    <w:rsid w:val="000E5860"/>
    <w:rsid w:val="00127D72"/>
    <w:rsid w:val="00131190"/>
    <w:rsid w:val="001319AC"/>
    <w:rsid w:val="00144627"/>
    <w:rsid w:val="00183A57"/>
    <w:rsid w:val="00250FC0"/>
    <w:rsid w:val="00275188"/>
    <w:rsid w:val="002B1B3E"/>
    <w:rsid w:val="002D4923"/>
    <w:rsid w:val="002D49DB"/>
    <w:rsid w:val="002E1A22"/>
    <w:rsid w:val="003A6BB4"/>
    <w:rsid w:val="003E5937"/>
    <w:rsid w:val="00416BE0"/>
    <w:rsid w:val="004832F3"/>
    <w:rsid w:val="00616429"/>
    <w:rsid w:val="00621167"/>
    <w:rsid w:val="006212D7"/>
    <w:rsid w:val="00625FE2"/>
    <w:rsid w:val="00693070"/>
    <w:rsid w:val="006A51D5"/>
    <w:rsid w:val="00723B59"/>
    <w:rsid w:val="00765442"/>
    <w:rsid w:val="00782209"/>
    <w:rsid w:val="007B26FD"/>
    <w:rsid w:val="007C0BE7"/>
    <w:rsid w:val="007C709E"/>
    <w:rsid w:val="00857FBC"/>
    <w:rsid w:val="00887591"/>
    <w:rsid w:val="008920AE"/>
    <w:rsid w:val="008920FD"/>
    <w:rsid w:val="008B754D"/>
    <w:rsid w:val="009807FD"/>
    <w:rsid w:val="00985C51"/>
    <w:rsid w:val="009C664D"/>
    <w:rsid w:val="009D103A"/>
    <w:rsid w:val="00A01F4C"/>
    <w:rsid w:val="00A177D2"/>
    <w:rsid w:val="00A35B45"/>
    <w:rsid w:val="00A62EEF"/>
    <w:rsid w:val="00A66D87"/>
    <w:rsid w:val="00A76F37"/>
    <w:rsid w:val="00A849B4"/>
    <w:rsid w:val="00AC1C2C"/>
    <w:rsid w:val="00AE2E5C"/>
    <w:rsid w:val="00B20652"/>
    <w:rsid w:val="00B3340C"/>
    <w:rsid w:val="00B44154"/>
    <w:rsid w:val="00B45C23"/>
    <w:rsid w:val="00B4789F"/>
    <w:rsid w:val="00C114B1"/>
    <w:rsid w:val="00C24C7C"/>
    <w:rsid w:val="00C50D6D"/>
    <w:rsid w:val="00D56525"/>
    <w:rsid w:val="00D77127"/>
    <w:rsid w:val="00DC4C41"/>
    <w:rsid w:val="00E11516"/>
    <w:rsid w:val="00E55E2D"/>
    <w:rsid w:val="00EA6614"/>
    <w:rsid w:val="00EA69BD"/>
    <w:rsid w:val="00EF0578"/>
    <w:rsid w:val="00F233BD"/>
    <w:rsid w:val="00F2528C"/>
    <w:rsid w:val="00F66555"/>
    <w:rsid w:val="00F74F56"/>
    <w:rsid w:val="00FA4FDF"/>
    <w:rsid w:val="00FB4704"/>
    <w:rsid w:val="00FB69FF"/>
    <w:rsid w:val="00FC154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241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21">
    <w:name w:val="Основний текст (2)"/>
    <w:basedOn w:val="a0"/>
    <w:rsid w:val="002D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.uub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8166-D81A-4E1F-BC06-76C8DB78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4575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55</cp:revision>
  <cp:lastPrinted>2023-05-01T09:41:00Z</cp:lastPrinted>
  <dcterms:created xsi:type="dcterms:W3CDTF">2023-04-14T07:39:00Z</dcterms:created>
  <dcterms:modified xsi:type="dcterms:W3CDTF">2023-05-17T12:44:00Z</dcterms:modified>
</cp:coreProperties>
</file>