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BBF" w:rsidRPr="00D120D2" w:rsidRDefault="00AC1C2C" w:rsidP="00A44BBF">
      <w:pPr>
        <w:pStyle w:val="a6"/>
        <w:jc w:val="center"/>
        <w:rPr>
          <w:rFonts w:ascii="Times New Roman" w:hAnsi="Times New Roman" w:cs="Times New Roman"/>
          <w:b/>
          <w:sz w:val="28"/>
          <w:szCs w:val="28"/>
          <w:lang w:eastAsia="uk-UA"/>
        </w:rPr>
      </w:pPr>
      <w:bookmarkStart w:id="0" w:name="_GoBack"/>
      <w:bookmarkEnd w:id="0"/>
      <w:r w:rsidRPr="00D120D2">
        <w:rPr>
          <w:rFonts w:ascii="Times New Roman" w:hAnsi="Times New Roman" w:cs="Times New Roman"/>
          <w:b/>
          <w:sz w:val="28"/>
          <w:szCs w:val="28"/>
          <w:lang w:eastAsia="uk-UA"/>
        </w:rPr>
        <w:t>ПАСПОРТ ВІДКРИТИХ ТОРГІВ (АУКЦІОНУ)</w:t>
      </w:r>
    </w:p>
    <w:p w:rsidR="00AC1C2C" w:rsidRPr="00D120D2" w:rsidRDefault="009807FD" w:rsidP="00A44BBF">
      <w:pPr>
        <w:pStyle w:val="a6"/>
        <w:jc w:val="center"/>
        <w:rPr>
          <w:rFonts w:ascii="Times New Roman" w:hAnsi="Times New Roman" w:cs="Times New Roman"/>
          <w:b/>
          <w:sz w:val="28"/>
          <w:szCs w:val="28"/>
        </w:rPr>
      </w:pPr>
      <w:r w:rsidRPr="00D120D2">
        <w:rPr>
          <w:rFonts w:ascii="Times New Roman" w:hAnsi="Times New Roman" w:cs="Times New Roman"/>
          <w:b/>
          <w:sz w:val="28"/>
          <w:szCs w:val="28"/>
        </w:rPr>
        <w:t xml:space="preserve">предметом продажу за яким є заставне майно боржників </w:t>
      </w:r>
      <w:r w:rsidRPr="00D120D2">
        <w:rPr>
          <w:rFonts w:ascii="Times New Roman" w:hAnsi="Times New Roman" w:cs="Times New Roman"/>
          <w:b/>
          <w:sz w:val="28"/>
          <w:szCs w:val="28"/>
          <w:lang w:eastAsia="uk-UA"/>
        </w:rPr>
        <w:t xml:space="preserve">АТ «БАНК СІЧ» </w:t>
      </w:r>
      <w:r w:rsidRPr="00D120D2">
        <w:rPr>
          <w:rFonts w:ascii="Times New Roman" w:hAnsi="Times New Roman" w:cs="Times New Roman"/>
          <w:b/>
          <w:sz w:val="28"/>
          <w:szCs w:val="28"/>
        </w:rPr>
        <w:t>або їх майнових поручителів</w:t>
      </w:r>
    </w:p>
    <w:p w:rsidR="00A44BBF" w:rsidRPr="00D120D2" w:rsidRDefault="00A44BBF" w:rsidP="00A44BBF">
      <w:pPr>
        <w:pStyle w:val="a6"/>
        <w:jc w:val="center"/>
        <w:rPr>
          <w:rFonts w:ascii="Times New Roman" w:hAnsi="Times New Roman" w:cs="Times New Roman"/>
          <w:b/>
          <w:sz w:val="28"/>
          <w:szCs w:val="28"/>
          <w:lang w:eastAsia="uk-UA"/>
        </w:rPr>
      </w:pPr>
    </w:p>
    <w:p w:rsidR="0046516C" w:rsidRPr="00D120D2" w:rsidRDefault="009807FD" w:rsidP="009807FD">
      <w:pPr>
        <w:pStyle w:val="a6"/>
        <w:jc w:val="center"/>
        <w:rPr>
          <w:rFonts w:ascii="Times New Roman" w:hAnsi="Times New Roman" w:cs="Times New Roman"/>
          <w:lang w:eastAsia="uk-UA"/>
        </w:rPr>
      </w:pPr>
      <w:r w:rsidRPr="00D120D2">
        <w:rPr>
          <w:rFonts w:ascii="Times New Roman" w:hAnsi="Times New Roman" w:cs="Times New Roman"/>
          <w:lang w:eastAsia="uk-UA"/>
        </w:rPr>
        <w:t>АТ «БАНК СІЧ»</w:t>
      </w:r>
      <w:r w:rsidR="0046516C" w:rsidRPr="00D120D2">
        <w:rPr>
          <w:rFonts w:ascii="Times New Roman" w:hAnsi="Times New Roman" w:cs="Times New Roman"/>
          <w:lang w:eastAsia="uk-UA"/>
        </w:rPr>
        <w:t xml:space="preserve"> </w:t>
      </w:r>
      <w:r w:rsidR="00AC1C2C" w:rsidRPr="00D120D2">
        <w:rPr>
          <w:rFonts w:ascii="Times New Roman" w:hAnsi="Times New Roman" w:cs="Times New Roman"/>
          <w:lang w:eastAsia="uk-UA"/>
        </w:rPr>
        <w:t xml:space="preserve">повідомляє про проведення </w:t>
      </w:r>
      <w:r w:rsidR="001713C6" w:rsidRPr="00D120D2">
        <w:rPr>
          <w:rFonts w:ascii="Times New Roman" w:hAnsi="Times New Roman" w:cs="Times New Roman"/>
          <w:lang w:eastAsia="uk-UA"/>
        </w:rPr>
        <w:t xml:space="preserve">повторних </w:t>
      </w:r>
      <w:r w:rsidR="00AC1C2C" w:rsidRPr="00D120D2">
        <w:rPr>
          <w:rFonts w:ascii="Times New Roman" w:hAnsi="Times New Roman" w:cs="Times New Roman"/>
          <w:lang w:eastAsia="uk-UA"/>
        </w:rPr>
        <w:t>відкритих торгів (аукціону</w:t>
      </w:r>
      <w:r w:rsidR="0046516C" w:rsidRPr="00D120D2">
        <w:rPr>
          <w:rFonts w:ascii="Times New Roman" w:hAnsi="Times New Roman" w:cs="Times New Roman"/>
          <w:lang w:eastAsia="uk-UA"/>
        </w:rPr>
        <w:t>)</w:t>
      </w:r>
    </w:p>
    <w:p w:rsidR="00AC1C2C" w:rsidRPr="00D120D2" w:rsidRDefault="00AC1C2C" w:rsidP="009807FD">
      <w:pPr>
        <w:pStyle w:val="a6"/>
        <w:jc w:val="center"/>
        <w:rPr>
          <w:rFonts w:ascii="Times New Roman" w:hAnsi="Times New Roman" w:cs="Times New Roman"/>
          <w:lang w:eastAsia="uk-UA"/>
        </w:rPr>
      </w:pPr>
      <w:r w:rsidRPr="00D120D2">
        <w:rPr>
          <w:rFonts w:ascii="Times New Roman" w:hAnsi="Times New Roman" w:cs="Times New Roman"/>
          <w:lang w:eastAsia="uk-UA"/>
        </w:rPr>
        <w:t xml:space="preserve"> </w:t>
      </w:r>
      <w:r w:rsidR="009807FD" w:rsidRPr="00D120D2">
        <w:rPr>
          <w:rFonts w:ascii="Times New Roman" w:hAnsi="Times New Roman" w:cs="Times New Roman"/>
        </w:rPr>
        <w:t>предметом продажу за яким є заставне майно боржників або їх майнових поручителів</w:t>
      </w:r>
    </w:p>
    <w:p w:rsidR="00C24C7C" w:rsidRPr="00D120D2" w:rsidRDefault="00C24C7C" w:rsidP="00C24C7C">
      <w:pPr>
        <w:shd w:val="clear" w:color="auto" w:fill="FFFFFF"/>
        <w:spacing w:after="0" w:line="240" w:lineRule="auto"/>
        <w:jc w:val="center"/>
        <w:rPr>
          <w:rFonts w:ascii="Times New Roman" w:hAnsi="Times New Roman" w:cs="Times New Roman"/>
          <w:color w:val="000000"/>
          <w:sz w:val="20"/>
          <w:szCs w:val="20"/>
        </w:rPr>
      </w:pPr>
    </w:p>
    <w:tbl>
      <w:tblPr>
        <w:tblW w:w="1577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4"/>
        <w:gridCol w:w="11055"/>
        <w:gridCol w:w="2888"/>
      </w:tblGrid>
      <w:tr w:rsidR="00782209" w:rsidRPr="00D120D2" w:rsidTr="00C14751">
        <w:trPr>
          <w:trHeight w:val="732"/>
        </w:trPr>
        <w:tc>
          <w:tcPr>
            <w:tcW w:w="1834" w:type="dxa"/>
            <w:tcBorders>
              <w:top w:val="outset" w:sz="6" w:space="0" w:color="auto"/>
              <w:left w:val="outset" w:sz="6" w:space="0" w:color="auto"/>
              <w:bottom w:val="outset" w:sz="6" w:space="0" w:color="auto"/>
              <w:right w:val="outset" w:sz="6" w:space="0" w:color="auto"/>
            </w:tcBorders>
            <w:shd w:val="clear" w:color="auto" w:fill="FAFAFA"/>
            <w:tcMar>
              <w:top w:w="250" w:type="dxa"/>
              <w:left w:w="250" w:type="dxa"/>
              <w:bottom w:w="250" w:type="dxa"/>
              <w:right w:w="250" w:type="dxa"/>
            </w:tcMar>
            <w:vAlign w:val="center"/>
            <w:hideMark/>
          </w:tcPr>
          <w:p w:rsidR="00782209" w:rsidRPr="00D120D2" w:rsidRDefault="00782209" w:rsidP="00EF0578">
            <w:pPr>
              <w:spacing w:after="0" w:line="240" w:lineRule="auto"/>
              <w:jc w:val="center"/>
              <w:rPr>
                <w:rFonts w:ascii="Times New Roman" w:hAnsi="Times New Roman" w:cs="Times New Roman"/>
                <w:b/>
                <w:bCs/>
                <w:color w:val="333333"/>
                <w:sz w:val="20"/>
                <w:szCs w:val="20"/>
              </w:rPr>
            </w:pPr>
            <w:r w:rsidRPr="00D120D2">
              <w:rPr>
                <w:rFonts w:ascii="Times New Roman" w:hAnsi="Times New Roman" w:cs="Times New Roman"/>
                <w:b/>
                <w:bCs/>
                <w:color w:val="333333"/>
                <w:sz w:val="20"/>
                <w:szCs w:val="20"/>
              </w:rPr>
              <w:t>№ лоту</w:t>
            </w:r>
          </w:p>
        </w:tc>
        <w:tc>
          <w:tcPr>
            <w:tcW w:w="11055" w:type="dxa"/>
            <w:tcBorders>
              <w:top w:val="outset" w:sz="6" w:space="0" w:color="auto"/>
              <w:left w:val="outset" w:sz="6" w:space="0" w:color="auto"/>
              <w:bottom w:val="outset" w:sz="6" w:space="0" w:color="auto"/>
              <w:right w:val="outset" w:sz="6" w:space="0" w:color="auto"/>
            </w:tcBorders>
            <w:shd w:val="clear" w:color="auto" w:fill="FAFAFA"/>
            <w:tcMar>
              <w:top w:w="250" w:type="dxa"/>
              <w:left w:w="250" w:type="dxa"/>
              <w:bottom w:w="250" w:type="dxa"/>
              <w:right w:w="250" w:type="dxa"/>
            </w:tcMar>
            <w:vAlign w:val="center"/>
            <w:hideMark/>
          </w:tcPr>
          <w:p w:rsidR="00782209" w:rsidRPr="00D120D2" w:rsidRDefault="00782209" w:rsidP="00EF0578">
            <w:pPr>
              <w:spacing w:after="0" w:line="240" w:lineRule="auto"/>
              <w:jc w:val="center"/>
              <w:rPr>
                <w:rFonts w:ascii="Times New Roman" w:hAnsi="Times New Roman" w:cs="Times New Roman"/>
                <w:b/>
                <w:bCs/>
                <w:color w:val="333333"/>
                <w:sz w:val="20"/>
                <w:szCs w:val="20"/>
              </w:rPr>
            </w:pPr>
            <w:r w:rsidRPr="00D120D2">
              <w:rPr>
                <w:rFonts w:ascii="Times New Roman" w:hAnsi="Times New Roman" w:cs="Times New Roman"/>
                <w:b/>
                <w:bCs/>
                <w:color w:val="333333"/>
                <w:sz w:val="20"/>
                <w:szCs w:val="20"/>
              </w:rPr>
              <w:t>Найменування активу/сти</w:t>
            </w:r>
            <w:r w:rsidR="00742B99" w:rsidRPr="00D120D2">
              <w:rPr>
                <w:rFonts w:ascii="Times New Roman" w:hAnsi="Times New Roman" w:cs="Times New Roman"/>
                <w:b/>
                <w:bCs/>
                <w:color w:val="333333"/>
                <w:sz w:val="20"/>
                <w:szCs w:val="20"/>
              </w:rPr>
              <w:t xml:space="preserve">слий опис активу </w:t>
            </w:r>
          </w:p>
        </w:tc>
        <w:tc>
          <w:tcPr>
            <w:tcW w:w="0" w:type="auto"/>
            <w:tcBorders>
              <w:top w:val="outset" w:sz="6" w:space="0" w:color="auto"/>
              <w:left w:val="outset" w:sz="6" w:space="0" w:color="auto"/>
              <w:bottom w:val="outset" w:sz="6" w:space="0" w:color="auto"/>
              <w:right w:val="outset" w:sz="6" w:space="0" w:color="auto"/>
            </w:tcBorders>
            <w:shd w:val="clear" w:color="auto" w:fill="FAFAFA"/>
            <w:tcMar>
              <w:top w:w="250" w:type="dxa"/>
              <w:left w:w="250" w:type="dxa"/>
              <w:bottom w:w="250" w:type="dxa"/>
              <w:right w:w="250" w:type="dxa"/>
            </w:tcMar>
            <w:vAlign w:val="center"/>
            <w:hideMark/>
          </w:tcPr>
          <w:p w:rsidR="00782209" w:rsidRPr="00D120D2" w:rsidRDefault="00782209" w:rsidP="001168BE">
            <w:pPr>
              <w:spacing w:after="0" w:line="240" w:lineRule="auto"/>
              <w:jc w:val="center"/>
              <w:rPr>
                <w:rFonts w:ascii="Times New Roman" w:hAnsi="Times New Roman" w:cs="Times New Roman"/>
                <w:b/>
                <w:bCs/>
                <w:color w:val="333333"/>
                <w:sz w:val="20"/>
                <w:szCs w:val="20"/>
              </w:rPr>
            </w:pPr>
            <w:r w:rsidRPr="00D120D2">
              <w:rPr>
                <w:rFonts w:ascii="Times New Roman" w:hAnsi="Times New Roman" w:cs="Times New Roman"/>
                <w:b/>
                <w:bCs/>
                <w:color w:val="333333"/>
                <w:sz w:val="20"/>
                <w:szCs w:val="20"/>
              </w:rPr>
              <w:t>Початкова ціна/початкова ціна реалізації лоту, грн. (</w:t>
            </w:r>
            <w:r w:rsidR="009C1E74" w:rsidRPr="00D120D2">
              <w:rPr>
                <w:rFonts w:ascii="Times New Roman" w:hAnsi="Times New Roman" w:cs="Times New Roman"/>
                <w:b/>
                <w:bCs/>
                <w:color w:val="333333"/>
                <w:sz w:val="20"/>
                <w:szCs w:val="20"/>
              </w:rPr>
              <w:t>з</w:t>
            </w:r>
            <w:r w:rsidRPr="00D120D2">
              <w:rPr>
                <w:rFonts w:ascii="Times New Roman" w:hAnsi="Times New Roman" w:cs="Times New Roman"/>
                <w:b/>
                <w:bCs/>
                <w:color w:val="333333"/>
                <w:sz w:val="20"/>
                <w:szCs w:val="20"/>
              </w:rPr>
              <w:t xml:space="preserve"> ПДВ, згідно чинного законодавства)</w:t>
            </w:r>
          </w:p>
        </w:tc>
      </w:tr>
      <w:tr w:rsidR="00782209" w:rsidRPr="00D120D2" w:rsidTr="001168BE">
        <w:trPr>
          <w:trHeight w:val="20"/>
        </w:trPr>
        <w:tc>
          <w:tcPr>
            <w:tcW w:w="1834" w:type="dxa"/>
            <w:tcBorders>
              <w:top w:val="outset" w:sz="6" w:space="0" w:color="auto"/>
              <w:left w:val="outset" w:sz="6" w:space="0" w:color="auto"/>
              <w:bottom w:val="outset" w:sz="6" w:space="0" w:color="auto"/>
              <w:right w:val="outset" w:sz="6" w:space="0" w:color="auto"/>
            </w:tcBorders>
            <w:tcMar>
              <w:top w:w="250" w:type="dxa"/>
              <w:left w:w="250" w:type="dxa"/>
              <w:bottom w:w="250" w:type="dxa"/>
              <w:right w:w="250" w:type="dxa"/>
            </w:tcMar>
            <w:vAlign w:val="center"/>
            <w:hideMark/>
          </w:tcPr>
          <w:p w:rsidR="00782209" w:rsidRPr="00D120D2" w:rsidRDefault="00C14751" w:rsidP="004A560D">
            <w:pPr>
              <w:spacing w:after="0" w:line="240" w:lineRule="auto"/>
              <w:jc w:val="center"/>
              <w:rPr>
                <w:rFonts w:ascii="Times New Roman" w:hAnsi="Times New Roman" w:cs="Times New Roman"/>
                <w:b/>
                <w:bCs/>
                <w:color w:val="333333"/>
                <w:sz w:val="20"/>
                <w:szCs w:val="20"/>
              </w:rPr>
            </w:pPr>
            <w:r w:rsidRPr="00D120D2">
              <w:rPr>
                <w:rFonts w:ascii="Times New Roman" w:hAnsi="Times New Roman" w:cs="Times New Roman"/>
                <w:b/>
                <w:bCs/>
                <w:color w:val="333333"/>
                <w:sz w:val="20"/>
                <w:szCs w:val="20"/>
              </w:rPr>
              <w:t>AA209N0000</w:t>
            </w:r>
            <w:r w:rsidR="001168BE" w:rsidRPr="00D120D2">
              <w:rPr>
                <w:rFonts w:ascii="Times New Roman" w:hAnsi="Times New Roman" w:cs="Times New Roman"/>
                <w:b/>
                <w:bCs/>
                <w:color w:val="333333"/>
                <w:sz w:val="20"/>
                <w:szCs w:val="20"/>
              </w:rPr>
              <w:t>16</w:t>
            </w:r>
          </w:p>
        </w:tc>
        <w:tc>
          <w:tcPr>
            <w:tcW w:w="11055" w:type="dxa"/>
            <w:tcBorders>
              <w:top w:val="outset" w:sz="6" w:space="0" w:color="auto"/>
              <w:left w:val="outset" w:sz="6" w:space="0" w:color="auto"/>
              <w:bottom w:val="outset" w:sz="6" w:space="0" w:color="auto"/>
              <w:right w:val="outset" w:sz="6" w:space="0" w:color="auto"/>
            </w:tcBorders>
            <w:tcMar>
              <w:top w:w="250" w:type="dxa"/>
              <w:left w:w="250" w:type="dxa"/>
              <w:bottom w:w="250" w:type="dxa"/>
              <w:right w:w="250" w:type="dxa"/>
            </w:tcMar>
            <w:hideMark/>
          </w:tcPr>
          <w:p w:rsidR="00E844D4" w:rsidRPr="00D120D2" w:rsidRDefault="001168BE" w:rsidP="001168BE">
            <w:pPr>
              <w:spacing w:after="0" w:line="240" w:lineRule="auto"/>
              <w:jc w:val="both"/>
              <w:rPr>
                <w:rFonts w:ascii="Times New Roman" w:hAnsi="Times New Roman" w:cs="Times New Roman"/>
                <w:b/>
                <w:bCs/>
                <w:sz w:val="18"/>
                <w:szCs w:val="18"/>
              </w:rPr>
            </w:pPr>
            <w:r w:rsidRPr="00D120D2">
              <w:rPr>
                <w:rFonts w:ascii="Times New Roman" w:hAnsi="Times New Roman" w:cs="Times New Roman"/>
                <w:b/>
                <w:bCs/>
                <w:sz w:val="18"/>
                <w:szCs w:val="18"/>
              </w:rPr>
              <w:t>Продаж обладнання*</w:t>
            </w:r>
            <w:r w:rsidR="00480715" w:rsidRPr="00D120D2">
              <w:rPr>
                <w:rFonts w:ascii="Times New Roman" w:hAnsi="Times New Roman" w:cs="Times New Roman"/>
                <w:b/>
                <w:bCs/>
                <w:sz w:val="18"/>
                <w:szCs w:val="18"/>
              </w:rPr>
              <w:t xml:space="preserve">: </w:t>
            </w:r>
            <w:r w:rsidRPr="00D120D2">
              <w:rPr>
                <w:rFonts w:ascii="Times New Roman" w:hAnsi="Times New Roman" w:cs="Times New Roman"/>
                <w:b/>
                <w:bCs/>
                <w:sz w:val="18"/>
                <w:szCs w:val="18"/>
              </w:rPr>
              <w:t xml:space="preserve">АСФАЛЬТОВИЙ ЗАВОД АMOMATIC 240 SM, </w:t>
            </w:r>
            <w:r w:rsidR="002D4A2E" w:rsidRPr="00D120D2">
              <w:rPr>
                <w:rFonts w:ascii="Times New Roman" w:hAnsi="Times New Roman" w:cs="Times New Roman"/>
                <w:b/>
                <w:bCs/>
                <w:sz w:val="18"/>
                <w:szCs w:val="18"/>
              </w:rPr>
              <w:t>інвентарний номер 0000005894</w:t>
            </w:r>
            <w:r w:rsidR="00DE72A7" w:rsidRPr="00D120D2">
              <w:rPr>
                <w:rFonts w:ascii="Times New Roman" w:hAnsi="Times New Roman" w:cs="Times New Roman"/>
                <w:b/>
                <w:bCs/>
                <w:sz w:val="18"/>
                <w:szCs w:val="18"/>
              </w:rPr>
              <w:t>7</w:t>
            </w:r>
            <w:r w:rsidR="002D4A2E" w:rsidRPr="00D120D2">
              <w:rPr>
                <w:rFonts w:ascii="Times New Roman" w:hAnsi="Times New Roman" w:cs="Times New Roman"/>
                <w:b/>
                <w:bCs/>
                <w:sz w:val="18"/>
                <w:szCs w:val="18"/>
              </w:rPr>
              <w:t xml:space="preserve">, заводський/серійний номер 15039, 2020 рік випуску, </w:t>
            </w:r>
            <w:r w:rsidRPr="00D120D2">
              <w:rPr>
                <w:rFonts w:ascii="Times New Roman" w:hAnsi="Times New Roman" w:cs="Times New Roman"/>
                <w:b/>
                <w:bCs/>
                <w:sz w:val="18"/>
                <w:szCs w:val="18"/>
              </w:rPr>
              <w:t>виробник AMOMATIC OY, країна виробництва Фінляндія, має модульну конструкцію та складається з наступних компонентів: Холодний дозатор KS 12-5</w:t>
            </w:r>
            <w:r w:rsidR="00DE72A7" w:rsidRPr="00D120D2">
              <w:rPr>
                <w:rFonts w:ascii="Times New Roman" w:hAnsi="Times New Roman" w:cs="Times New Roman"/>
                <w:b/>
                <w:bCs/>
                <w:sz w:val="18"/>
                <w:szCs w:val="18"/>
              </w:rPr>
              <w:t>; Похилий транспортер НК 650-12;</w:t>
            </w:r>
            <w:r w:rsidRPr="00D120D2">
              <w:rPr>
                <w:rFonts w:ascii="Times New Roman" w:hAnsi="Times New Roman" w:cs="Times New Roman"/>
                <w:b/>
                <w:bCs/>
                <w:sz w:val="18"/>
                <w:szCs w:val="18"/>
              </w:rPr>
              <w:t xml:space="preserve"> Сушильний барабан KR 240, пальник дизель/природний газ. Лічильник витрат палива в дизельній магістралі</w:t>
            </w:r>
            <w:r w:rsidR="00DE72A7" w:rsidRPr="00D120D2">
              <w:rPr>
                <w:rFonts w:ascii="Times New Roman" w:hAnsi="Times New Roman" w:cs="Times New Roman"/>
                <w:b/>
                <w:bCs/>
                <w:sz w:val="18"/>
                <w:szCs w:val="18"/>
              </w:rPr>
              <w:t>;</w:t>
            </w:r>
            <w:r w:rsidRPr="00D120D2">
              <w:rPr>
                <w:rFonts w:ascii="Times New Roman" w:hAnsi="Times New Roman" w:cs="Times New Roman"/>
                <w:b/>
                <w:bCs/>
                <w:sz w:val="18"/>
                <w:szCs w:val="18"/>
              </w:rPr>
              <w:t xml:space="preserve"> Гарячий елеватор EL 240</w:t>
            </w:r>
            <w:r w:rsidR="00DE72A7" w:rsidRPr="00D120D2">
              <w:rPr>
                <w:rFonts w:ascii="Times New Roman" w:hAnsi="Times New Roman" w:cs="Times New Roman"/>
                <w:b/>
                <w:bCs/>
                <w:sz w:val="18"/>
                <w:szCs w:val="18"/>
              </w:rPr>
              <w:t>;</w:t>
            </w:r>
            <w:r w:rsidRPr="00D120D2">
              <w:rPr>
                <w:rFonts w:ascii="Times New Roman" w:hAnsi="Times New Roman" w:cs="Times New Roman"/>
                <w:b/>
                <w:bCs/>
                <w:sz w:val="18"/>
                <w:szCs w:val="18"/>
              </w:rPr>
              <w:t xml:space="preserve"> Змішувальна вежа ST 240, п’ять фракцій, гарячі </w:t>
            </w:r>
            <w:r w:rsidR="00C63573" w:rsidRPr="00D120D2">
              <w:rPr>
                <w:rFonts w:ascii="Times New Roman" w:hAnsi="Times New Roman" w:cs="Times New Roman"/>
                <w:b/>
                <w:bCs/>
                <w:sz w:val="18"/>
                <w:szCs w:val="18"/>
              </w:rPr>
              <w:t>бункери 25 м3, змішувач 4000 кг.;</w:t>
            </w:r>
            <w:r w:rsidRPr="00D120D2">
              <w:rPr>
                <w:rFonts w:ascii="Times New Roman" w:hAnsi="Times New Roman" w:cs="Times New Roman"/>
                <w:b/>
                <w:bCs/>
                <w:sz w:val="18"/>
                <w:szCs w:val="18"/>
              </w:rPr>
              <w:t xml:space="preserve"> Ємності мінпорошка і пилу 35+35+70 м3</w:t>
            </w:r>
            <w:r w:rsidR="00C63573" w:rsidRPr="00D120D2">
              <w:rPr>
                <w:rFonts w:ascii="Times New Roman" w:hAnsi="Times New Roman" w:cs="Times New Roman"/>
                <w:b/>
                <w:bCs/>
                <w:sz w:val="18"/>
                <w:szCs w:val="18"/>
              </w:rPr>
              <w:t>;</w:t>
            </w:r>
            <w:r w:rsidRPr="00D120D2">
              <w:rPr>
                <w:rFonts w:ascii="Times New Roman" w:hAnsi="Times New Roman" w:cs="Times New Roman"/>
                <w:b/>
                <w:bCs/>
                <w:sz w:val="18"/>
                <w:szCs w:val="18"/>
              </w:rPr>
              <w:t xml:space="preserve">  Бітумна ємність з електропідігрівом 100 м3 і битумопровод до змішувальної вежі</w:t>
            </w:r>
            <w:r w:rsidR="00C63573" w:rsidRPr="00D120D2">
              <w:rPr>
                <w:rFonts w:ascii="Times New Roman" w:hAnsi="Times New Roman" w:cs="Times New Roman"/>
                <w:b/>
                <w:bCs/>
                <w:sz w:val="18"/>
                <w:szCs w:val="18"/>
              </w:rPr>
              <w:t>;</w:t>
            </w:r>
            <w:r w:rsidRPr="00D120D2">
              <w:rPr>
                <w:rFonts w:ascii="Times New Roman" w:hAnsi="Times New Roman" w:cs="Times New Roman"/>
                <w:b/>
                <w:bCs/>
                <w:sz w:val="18"/>
                <w:szCs w:val="18"/>
              </w:rPr>
              <w:t xml:space="preserve"> Рукавний філь</w:t>
            </w:r>
            <w:r w:rsidR="00C63573" w:rsidRPr="00D120D2">
              <w:rPr>
                <w:rFonts w:ascii="Times New Roman" w:hAnsi="Times New Roman" w:cs="Times New Roman"/>
                <w:b/>
                <w:bCs/>
                <w:sz w:val="18"/>
                <w:szCs w:val="18"/>
              </w:rPr>
              <w:t>тр PS 840, пневмотранспорт пилу;</w:t>
            </w:r>
            <w:r w:rsidRPr="00D120D2">
              <w:rPr>
                <w:rFonts w:ascii="Times New Roman" w:hAnsi="Times New Roman" w:cs="Times New Roman"/>
                <w:b/>
                <w:bCs/>
                <w:sz w:val="18"/>
                <w:szCs w:val="18"/>
              </w:rPr>
              <w:t xml:space="preserve"> Система подання целюлозного грануляту (ЩМА)</w:t>
            </w:r>
            <w:r w:rsidR="00C63573" w:rsidRPr="00D120D2">
              <w:rPr>
                <w:rFonts w:ascii="Times New Roman" w:hAnsi="Times New Roman" w:cs="Times New Roman"/>
                <w:b/>
                <w:bCs/>
                <w:sz w:val="18"/>
                <w:szCs w:val="18"/>
              </w:rPr>
              <w:t>;</w:t>
            </w:r>
            <w:r w:rsidRPr="00D120D2">
              <w:rPr>
                <w:rFonts w:ascii="Times New Roman" w:hAnsi="Times New Roman" w:cs="Times New Roman"/>
                <w:b/>
                <w:bCs/>
                <w:sz w:val="18"/>
                <w:szCs w:val="18"/>
              </w:rPr>
              <w:t xml:space="preserve"> Амінодозіровка</w:t>
            </w:r>
            <w:r w:rsidR="00C63573" w:rsidRPr="00D120D2">
              <w:rPr>
                <w:rFonts w:ascii="Times New Roman" w:hAnsi="Times New Roman" w:cs="Times New Roman"/>
                <w:b/>
                <w:bCs/>
                <w:sz w:val="18"/>
                <w:szCs w:val="18"/>
              </w:rPr>
              <w:t>;</w:t>
            </w:r>
            <w:r w:rsidRPr="00D120D2">
              <w:rPr>
                <w:rFonts w:ascii="Times New Roman" w:hAnsi="Times New Roman" w:cs="Times New Roman"/>
                <w:b/>
                <w:bCs/>
                <w:sz w:val="18"/>
                <w:szCs w:val="18"/>
              </w:rPr>
              <w:t xml:space="preserve"> Комплект запчастин для</w:t>
            </w:r>
            <w:r w:rsidR="00C63573" w:rsidRPr="00D120D2">
              <w:rPr>
                <w:rFonts w:ascii="Times New Roman" w:hAnsi="Times New Roman" w:cs="Times New Roman"/>
                <w:b/>
                <w:bCs/>
                <w:sz w:val="18"/>
                <w:szCs w:val="18"/>
              </w:rPr>
              <w:t xml:space="preserve"> виробництва 100 000 тон суміші;</w:t>
            </w:r>
            <w:r w:rsidRPr="00D120D2">
              <w:rPr>
                <w:rFonts w:ascii="Times New Roman" w:hAnsi="Times New Roman" w:cs="Times New Roman"/>
                <w:b/>
                <w:bCs/>
                <w:sz w:val="18"/>
                <w:szCs w:val="18"/>
              </w:rPr>
              <w:t xml:space="preserve"> Комплект інструменту, Електрика і автоматика з віддаленим доступом</w:t>
            </w:r>
            <w:r w:rsidR="00C63573" w:rsidRPr="00D120D2">
              <w:rPr>
                <w:rFonts w:ascii="Times New Roman" w:hAnsi="Times New Roman" w:cs="Times New Roman"/>
                <w:b/>
                <w:bCs/>
                <w:sz w:val="18"/>
                <w:szCs w:val="18"/>
              </w:rPr>
              <w:t>;</w:t>
            </w:r>
            <w:r w:rsidRPr="00D120D2">
              <w:rPr>
                <w:rFonts w:ascii="Times New Roman" w:hAnsi="Times New Roman" w:cs="Times New Roman"/>
                <w:b/>
                <w:bCs/>
                <w:sz w:val="18"/>
                <w:szCs w:val="18"/>
              </w:rPr>
              <w:t xml:space="preserve"> Пусконалагодник, як</w:t>
            </w:r>
            <w:r w:rsidR="00480715" w:rsidRPr="00D120D2">
              <w:rPr>
                <w:rFonts w:ascii="Times New Roman" w:hAnsi="Times New Roman" w:cs="Times New Roman"/>
                <w:b/>
                <w:bCs/>
                <w:sz w:val="18"/>
                <w:szCs w:val="18"/>
              </w:rPr>
              <w:t>е</w:t>
            </w:r>
            <w:r w:rsidRPr="00D120D2">
              <w:rPr>
                <w:rFonts w:ascii="Times New Roman" w:hAnsi="Times New Roman" w:cs="Times New Roman"/>
                <w:b/>
                <w:bCs/>
                <w:sz w:val="18"/>
                <w:szCs w:val="18"/>
              </w:rPr>
              <w:t xml:space="preserve"> є </w:t>
            </w:r>
            <w:r w:rsidR="00E844D4" w:rsidRPr="00D120D2">
              <w:rPr>
                <w:rFonts w:ascii="Times New Roman" w:hAnsi="Times New Roman" w:cs="Times New Roman"/>
                <w:b/>
                <w:bCs/>
                <w:sz w:val="18"/>
                <w:szCs w:val="18"/>
              </w:rPr>
              <w:t>предметом застави АТ «БАНК СІЧ»</w:t>
            </w:r>
            <w:r w:rsidRPr="00D120D2">
              <w:rPr>
                <w:rFonts w:ascii="Times New Roman" w:hAnsi="Times New Roman" w:cs="Times New Roman"/>
                <w:b/>
                <w:bCs/>
                <w:sz w:val="18"/>
                <w:szCs w:val="18"/>
              </w:rPr>
              <w:t xml:space="preserve"> </w:t>
            </w:r>
            <w:r w:rsidR="00E844D4" w:rsidRPr="00D120D2">
              <w:rPr>
                <w:rFonts w:ascii="Times New Roman" w:hAnsi="Times New Roman" w:cs="Times New Roman"/>
                <w:b/>
                <w:bCs/>
                <w:sz w:val="18"/>
                <w:szCs w:val="18"/>
              </w:rPr>
              <w:t>та</w:t>
            </w:r>
            <w:r w:rsidRPr="00D120D2">
              <w:rPr>
                <w:rFonts w:ascii="Times New Roman" w:hAnsi="Times New Roman" w:cs="Times New Roman"/>
                <w:b/>
                <w:bCs/>
                <w:sz w:val="18"/>
                <w:szCs w:val="18"/>
              </w:rPr>
              <w:t xml:space="preserve"> належить Заставодавцю</w:t>
            </w:r>
            <w:r w:rsidR="00E844D4" w:rsidRPr="00D120D2">
              <w:rPr>
                <w:rFonts w:ascii="Times New Roman" w:hAnsi="Times New Roman" w:cs="Times New Roman"/>
                <w:b/>
                <w:bCs/>
                <w:sz w:val="18"/>
                <w:szCs w:val="18"/>
              </w:rPr>
              <w:t>,</w:t>
            </w:r>
            <w:r w:rsidRPr="00D120D2">
              <w:rPr>
                <w:rFonts w:ascii="Times New Roman" w:hAnsi="Times New Roman" w:cs="Times New Roman"/>
                <w:b/>
                <w:bCs/>
                <w:sz w:val="18"/>
                <w:szCs w:val="18"/>
              </w:rPr>
              <w:t xml:space="preserve"> знаходиться у його володінні</w:t>
            </w:r>
            <w:r w:rsidR="00E844D4" w:rsidRPr="00D120D2">
              <w:rPr>
                <w:rFonts w:ascii="Times New Roman" w:hAnsi="Times New Roman" w:cs="Times New Roman"/>
                <w:b/>
                <w:bCs/>
                <w:sz w:val="18"/>
                <w:szCs w:val="18"/>
              </w:rPr>
              <w:t xml:space="preserve">, </w:t>
            </w:r>
            <w:r w:rsidRPr="00D120D2">
              <w:rPr>
                <w:rFonts w:ascii="Times New Roman" w:hAnsi="Times New Roman" w:cs="Times New Roman"/>
                <w:b/>
                <w:bCs/>
                <w:sz w:val="18"/>
                <w:szCs w:val="18"/>
              </w:rPr>
              <w:t>управлінні</w:t>
            </w:r>
            <w:r w:rsidR="00E844D4" w:rsidRPr="00D120D2">
              <w:rPr>
                <w:rFonts w:ascii="Times New Roman" w:hAnsi="Times New Roman" w:cs="Times New Roman"/>
                <w:b/>
                <w:bCs/>
                <w:sz w:val="18"/>
                <w:szCs w:val="18"/>
              </w:rPr>
              <w:t xml:space="preserve"> та передане в орендне користування</w:t>
            </w:r>
            <w:r w:rsidRPr="00D120D2">
              <w:rPr>
                <w:rFonts w:ascii="Times New Roman" w:hAnsi="Times New Roman" w:cs="Times New Roman"/>
                <w:b/>
                <w:bCs/>
                <w:sz w:val="18"/>
                <w:szCs w:val="18"/>
              </w:rPr>
              <w:t>.</w:t>
            </w:r>
          </w:p>
          <w:p w:rsidR="001168BE" w:rsidRPr="00D120D2" w:rsidRDefault="001168BE" w:rsidP="001168BE">
            <w:pPr>
              <w:spacing w:after="0" w:line="240" w:lineRule="auto"/>
              <w:jc w:val="both"/>
              <w:rPr>
                <w:rFonts w:ascii="Times New Roman" w:hAnsi="Times New Roman" w:cs="Times New Roman"/>
                <w:b/>
                <w:bCs/>
                <w:sz w:val="18"/>
                <w:szCs w:val="18"/>
              </w:rPr>
            </w:pPr>
            <w:r w:rsidRPr="00D120D2">
              <w:rPr>
                <w:rFonts w:ascii="Times New Roman" w:hAnsi="Times New Roman" w:cs="Times New Roman"/>
                <w:b/>
                <w:bCs/>
                <w:sz w:val="18"/>
                <w:szCs w:val="18"/>
              </w:rPr>
              <w:t>Місцезнаходження за адресою: Київська область, Бориспільський район, с. Переяславське, вул. Привокзальна, 66.</w:t>
            </w:r>
          </w:p>
          <w:p w:rsidR="001168BE" w:rsidRPr="00D120D2" w:rsidRDefault="001168BE" w:rsidP="001168BE">
            <w:pPr>
              <w:spacing w:after="0" w:line="240" w:lineRule="auto"/>
              <w:jc w:val="both"/>
              <w:rPr>
                <w:rFonts w:ascii="Times New Roman" w:hAnsi="Times New Roman" w:cs="Times New Roman"/>
                <w:b/>
                <w:bCs/>
                <w:color w:val="333333"/>
                <w:sz w:val="18"/>
                <w:szCs w:val="18"/>
              </w:rPr>
            </w:pPr>
          </w:p>
          <w:p w:rsidR="001168BE" w:rsidRPr="00D120D2" w:rsidRDefault="001168BE" w:rsidP="001168BE">
            <w:pPr>
              <w:spacing w:after="0" w:line="240" w:lineRule="auto"/>
              <w:jc w:val="both"/>
              <w:rPr>
                <w:rFonts w:ascii="Times New Roman" w:hAnsi="Times New Roman" w:cs="Times New Roman"/>
                <w:b/>
                <w:bCs/>
                <w:color w:val="333333"/>
                <w:sz w:val="18"/>
                <w:szCs w:val="18"/>
              </w:rPr>
            </w:pPr>
            <w:r w:rsidRPr="00D120D2">
              <w:rPr>
                <w:rFonts w:ascii="Times New Roman" w:hAnsi="Times New Roman" w:cs="Times New Roman"/>
                <w:b/>
                <w:bCs/>
                <w:color w:val="333333"/>
                <w:sz w:val="18"/>
                <w:szCs w:val="18"/>
              </w:rPr>
              <w:t>*обладнання виступає предметом застави боржника АТ «БАНК СІЧ» та реалізується відповідно до умов Договору застави та порядку встановленому ст.ст. 20, 21 Закону України "Про заставу" та ст. 30 Закону України "Про забезпечення вимог кредиторів та реєстрацію обтяжень", з подальшим укладення від імені заставодавця договору купівлі-продажу з іншою особою – покупцем, за результатами аукціону проведеного в електронній торговій системі Prozorro.Продажі та у відповідності до Регламенту роботи електронної торгової системи Prozorro.Продажі ЦБД 2 щодо проведення електронних аукціонів з продажу / надання в оренду майна (активів) / передачі права.</w:t>
            </w:r>
          </w:p>
        </w:tc>
        <w:tc>
          <w:tcPr>
            <w:tcW w:w="0" w:type="auto"/>
            <w:tcBorders>
              <w:top w:val="outset" w:sz="6" w:space="0" w:color="auto"/>
              <w:left w:val="outset" w:sz="6" w:space="0" w:color="auto"/>
              <w:bottom w:val="outset" w:sz="6" w:space="0" w:color="auto"/>
              <w:right w:val="outset" w:sz="6" w:space="0" w:color="auto"/>
            </w:tcBorders>
            <w:tcMar>
              <w:top w:w="250" w:type="dxa"/>
              <w:left w:w="250" w:type="dxa"/>
              <w:bottom w:w="250" w:type="dxa"/>
              <w:right w:w="250" w:type="dxa"/>
            </w:tcMar>
            <w:vAlign w:val="center"/>
            <w:hideMark/>
          </w:tcPr>
          <w:p w:rsidR="00F22FFD" w:rsidRPr="00D120D2" w:rsidRDefault="001713C6" w:rsidP="00F22FFD">
            <w:pPr>
              <w:spacing w:after="0" w:line="240" w:lineRule="auto"/>
              <w:jc w:val="center"/>
              <w:rPr>
                <w:rFonts w:ascii="Times New Roman" w:hAnsi="Times New Roman" w:cs="Times New Roman"/>
                <w:b/>
                <w:bCs/>
                <w:color w:val="333333"/>
                <w:sz w:val="20"/>
                <w:szCs w:val="20"/>
              </w:rPr>
            </w:pPr>
            <w:r w:rsidRPr="00D120D2">
              <w:rPr>
                <w:rFonts w:ascii="Times New Roman" w:hAnsi="Times New Roman" w:cs="Times New Roman"/>
                <w:b/>
                <w:bCs/>
                <w:color w:val="333333"/>
                <w:sz w:val="20"/>
                <w:szCs w:val="20"/>
              </w:rPr>
              <w:t>3</w:t>
            </w:r>
            <w:r w:rsidR="002D79DB" w:rsidRPr="00D120D2">
              <w:rPr>
                <w:rFonts w:ascii="Times New Roman" w:hAnsi="Times New Roman" w:cs="Times New Roman"/>
                <w:b/>
                <w:bCs/>
                <w:color w:val="333333"/>
                <w:sz w:val="20"/>
                <w:szCs w:val="20"/>
              </w:rPr>
              <w:t>1</w:t>
            </w:r>
            <w:r w:rsidR="00782209" w:rsidRPr="00D120D2">
              <w:rPr>
                <w:rFonts w:ascii="Times New Roman" w:hAnsi="Times New Roman" w:cs="Times New Roman"/>
                <w:b/>
                <w:bCs/>
                <w:color w:val="333333"/>
                <w:sz w:val="20"/>
                <w:szCs w:val="20"/>
              </w:rPr>
              <w:t>.0</w:t>
            </w:r>
            <w:r w:rsidR="002733BF" w:rsidRPr="00D120D2">
              <w:rPr>
                <w:rFonts w:ascii="Times New Roman" w:hAnsi="Times New Roman" w:cs="Times New Roman"/>
                <w:b/>
                <w:bCs/>
                <w:color w:val="333333"/>
                <w:sz w:val="20"/>
                <w:szCs w:val="20"/>
              </w:rPr>
              <w:t>7</w:t>
            </w:r>
            <w:r w:rsidR="00782209" w:rsidRPr="00D120D2">
              <w:rPr>
                <w:rFonts w:ascii="Times New Roman" w:hAnsi="Times New Roman" w:cs="Times New Roman"/>
                <w:b/>
                <w:bCs/>
                <w:color w:val="333333"/>
                <w:sz w:val="20"/>
                <w:szCs w:val="20"/>
              </w:rPr>
              <w:t xml:space="preserve">.2023 – </w:t>
            </w:r>
            <w:r w:rsidRPr="00D120D2">
              <w:rPr>
                <w:rFonts w:ascii="Times New Roman" w:hAnsi="Times New Roman" w:cs="Times New Roman"/>
                <w:b/>
                <w:bCs/>
                <w:color w:val="333333"/>
                <w:sz w:val="20"/>
                <w:szCs w:val="20"/>
              </w:rPr>
              <w:t>44 270 184,00</w:t>
            </w:r>
          </w:p>
          <w:p w:rsidR="00782209" w:rsidRPr="00D120D2" w:rsidRDefault="00782209" w:rsidP="002B2150">
            <w:pPr>
              <w:spacing w:after="0" w:line="240" w:lineRule="auto"/>
              <w:jc w:val="center"/>
              <w:rPr>
                <w:rFonts w:ascii="Times New Roman" w:hAnsi="Times New Roman" w:cs="Times New Roman"/>
                <w:b/>
                <w:bCs/>
                <w:color w:val="333333"/>
                <w:sz w:val="20"/>
                <w:szCs w:val="20"/>
              </w:rPr>
            </w:pPr>
          </w:p>
        </w:tc>
      </w:tr>
    </w:tbl>
    <w:p w:rsidR="00C24C7C" w:rsidRPr="00D120D2" w:rsidRDefault="00C24C7C" w:rsidP="00C24C7C">
      <w:pPr>
        <w:shd w:val="clear" w:color="auto" w:fill="FFFFFF"/>
        <w:spacing w:after="0" w:line="240" w:lineRule="auto"/>
        <w:rPr>
          <w:rFonts w:ascii="Times New Roman" w:hAnsi="Times New Roman" w:cs="Times New Roman"/>
          <w:color w:val="000000"/>
          <w:sz w:val="20"/>
          <w:szCs w:val="20"/>
        </w:rPr>
      </w:pPr>
    </w:p>
    <w:tbl>
      <w:tblPr>
        <w:tblW w:w="1589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409"/>
        <w:gridCol w:w="8484"/>
      </w:tblGrid>
      <w:tr w:rsidR="00EF0578" w:rsidRPr="00D120D2" w:rsidTr="00302060">
        <w:trPr>
          <w:trHeight w:val="638"/>
        </w:trPr>
        <w:tc>
          <w:tcPr>
            <w:tcW w:w="740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D120D2" w:rsidRDefault="00EF0578" w:rsidP="00EF0578">
            <w:pPr>
              <w:pStyle w:val="a4"/>
              <w:spacing w:before="0" w:beforeAutospacing="0" w:after="0" w:afterAutospacing="0"/>
              <w:contextualSpacing/>
              <w:rPr>
                <w:b/>
                <w:bCs/>
                <w:color w:val="333333"/>
                <w:sz w:val="20"/>
                <w:szCs w:val="20"/>
              </w:rPr>
            </w:pPr>
            <w:r w:rsidRPr="00D120D2">
              <w:rPr>
                <w:b/>
                <w:bCs/>
                <w:color w:val="333333"/>
                <w:sz w:val="20"/>
                <w:szCs w:val="20"/>
              </w:rPr>
              <w:t>Організатор відкритих торгів (аукціону)</w:t>
            </w:r>
          </w:p>
        </w:tc>
        <w:tc>
          <w:tcPr>
            <w:tcW w:w="8484"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782209" w:rsidRPr="00D120D2" w:rsidRDefault="00782209" w:rsidP="00A76F37">
            <w:pPr>
              <w:pStyle w:val="a4"/>
              <w:spacing w:before="0" w:beforeAutospacing="0" w:after="0" w:afterAutospacing="0"/>
              <w:contextualSpacing/>
              <w:rPr>
                <w:b/>
              </w:rPr>
            </w:pPr>
            <w:r w:rsidRPr="00D120D2">
              <w:rPr>
                <w:b/>
              </w:rPr>
              <w:t>АКЦІОНЕРНЕ ТОВАРИСТВО «БАНК СІЧ»</w:t>
            </w:r>
          </w:p>
          <w:p w:rsidR="00EF0578" w:rsidRPr="00D120D2" w:rsidRDefault="00EF0578" w:rsidP="00A76F37">
            <w:pPr>
              <w:pStyle w:val="a4"/>
              <w:spacing w:before="0" w:beforeAutospacing="0" w:after="0" w:afterAutospacing="0"/>
              <w:contextualSpacing/>
              <w:rPr>
                <w:b/>
                <w:bCs/>
                <w:color w:val="333333"/>
                <w:sz w:val="20"/>
                <w:szCs w:val="20"/>
              </w:rPr>
            </w:pPr>
            <w:r w:rsidRPr="00D120D2">
              <w:rPr>
                <w:b/>
                <w:bCs/>
                <w:color w:val="333333"/>
                <w:sz w:val="20"/>
                <w:szCs w:val="20"/>
              </w:rPr>
              <w:t>Посилання на організатор</w:t>
            </w:r>
            <w:r w:rsidR="00A76F37" w:rsidRPr="00D120D2">
              <w:rPr>
                <w:b/>
                <w:bCs/>
                <w:color w:val="333333"/>
                <w:sz w:val="20"/>
                <w:szCs w:val="20"/>
              </w:rPr>
              <w:t>а</w:t>
            </w:r>
            <w:r w:rsidRPr="00D120D2">
              <w:rPr>
                <w:b/>
                <w:bCs/>
                <w:color w:val="333333"/>
                <w:sz w:val="20"/>
                <w:szCs w:val="20"/>
              </w:rPr>
              <w:t xml:space="preserve"> відкритих торгів (аукціонів):</w:t>
            </w:r>
            <w:r w:rsidRPr="00D120D2">
              <w:rPr>
                <w:b/>
                <w:bCs/>
                <w:sz w:val="20"/>
                <w:szCs w:val="20"/>
              </w:rPr>
              <w:t> </w:t>
            </w:r>
            <w:r w:rsidR="00782209" w:rsidRPr="00D120D2">
              <w:rPr>
                <w:b/>
                <w:bCs/>
                <w:sz w:val="20"/>
                <w:szCs w:val="20"/>
              </w:rPr>
              <w:t>https://sich.fg.gov.ua/</w:t>
            </w:r>
          </w:p>
        </w:tc>
      </w:tr>
      <w:tr w:rsidR="00782209" w:rsidRPr="00D120D2" w:rsidTr="00302060">
        <w:trPr>
          <w:trHeight w:val="638"/>
        </w:trPr>
        <w:tc>
          <w:tcPr>
            <w:tcW w:w="740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tcPr>
          <w:p w:rsidR="00782209" w:rsidRPr="00D120D2" w:rsidRDefault="00782209" w:rsidP="00EF0578">
            <w:pPr>
              <w:pStyle w:val="a4"/>
              <w:spacing w:before="0" w:beforeAutospacing="0" w:after="0" w:afterAutospacing="0"/>
              <w:contextualSpacing/>
              <w:rPr>
                <w:b/>
                <w:bCs/>
                <w:color w:val="333333"/>
                <w:sz w:val="20"/>
                <w:szCs w:val="20"/>
              </w:rPr>
            </w:pPr>
            <w:r w:rsidRPr="00D120D2">
              <w:rPr>
                <w:b/>
                <w:bCs/>
                <w:color w:val="333333"/>
                <w:sz w:val="20"/>
                <w:szCs w:val="20"/>
              </w:rPr>
              <w:lastRenderedPageBreak/>
              <w:t>Оператор електронного майданчика</w:t>
            </w:r>
          </w:p>
        </w:tc>
        <w:tc>
          <w:tcPr>
            <w:tcW w:w="8484"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tcPr>
          <w:p w:rsidR="005A42E8" w:rsidRPr="00D120D2" w:rsidRDefault="005A42E8" w:rsidP="005A42E8">
            <w:pPr>
              <w:pStyle w:val="a4"/>
              <w:spacing w:before="0" w:beforeAutospacing="0" w:after="0" w:afterAutospacing="0"/>
              <w:contextualSpacing/>
            </w:pPr>
            <w:r w:rsidRPr="00D120D2">
              <w:rPr>
                <w:b/>
              </w:rPr>
              <w:t xml:space="preserve">Товариство з обмеженою відповідальністю </w:t>
            </w:r>
            <w:r w:rsidR="00480715" w:rsidRPr="00D120D2">
              <w:rPr>
                <w:b/>
                <w:lang w:eastAsia="ru-RU"/>
              </w:rPr>
              <w:t>«ЗАКУПКИ.ПРОМ.УА»</w:t>
            </w:r>
          </w:p>
          <w:p w:rsidR="00782209" w:rsidRPr="00D120D2" w:rsidRDefault="005A42E8" w:rsidP="005A42E8">
            <w:pPr>
              <w:pStyle w:val="a4"/>
              <w:spacing w:before="0" w:beforeAutospacing="0" w:after="0" w:afterAutospacing="0"/>
              <w:contextualSpacing/>
              <w:rPr>
                <w:b/>
              </w:rPr>
            </w:pPr>
            <w:r w:rsidRPr="00D120D2">
              <w:rPr>
                <w:b/>
                <w:bCs/>
                <w:color w:val="333333"/>
                <w:sz w:val="20"/>
                <w:szCs w:val="20"/>
              </w:rPr>
              <w:t>Посилання на оператора електронного майданчика:</w:t>
            </w:r>
            <w:r w:rsidRPr="00D120D2">
              <w:rPr>
                <w:b/>
                <w:bCs/>
                <w:sz w:val="20"/>
                <w:szCs w:val="20"/>
              </w:rPr>
              <w:t> </w:t>
            </w:r>
            <w:r w:rsidR="00480715" w:rsidRPr="00D120D2">
              <w:rPr>
                <w:b/>
                <w:bCs/>
                <w:sz w:val="20"/>
                <w:szCs w:val="20"/>
              </w:rPr>
              <w:t>https://zakupki.prom.ua/</w:t>
            </w:r>
          </w:p>
        </w:tc>
      </w:tr>
      <w:tr w:rsidR="00EF0578" w:rsidRPr="00D120D2" w:rsidTr="00302060">
        <w:trPr>
          <w:trHeight w:val="79"/>
        </w:trPr>
        <w:tc>
          <w:tcPr>
            <w:tcW w:w="740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D120D2" w:rsidRDefault="00EF0578" w:rsidP="00EF0578">
            <w:pPr>
              <w:pStyle w:val="a4"/>
              <w:spacing w:before="0" w:beforeAutospacing="0" w:after="0" w:afterAutospacing="0"/>
              <w:contextualSpacing/>
              <w:rPr>
                <w:b/>
                <w:bCs/>
                <w:color w:val="333333"/>
                <w:sz w:val="20"/>
                <w:szCs w:val="20"/>
              </w:rPr>
            </w:pPr>
            <w:r w:rsidRPr="00D120D2">
              <w:rPr>
                <w:b/>
                <w:bCs/>
                <w:color w:val="333333"/>
                <w:sz w:val="20"/>
                <w:szCs w:val="20"/>
              </w:rPr>
              <w:t>Учасники відкритих торгів (аукціону)</w:t>
            </w:r>
          </w:p>
        </w:tc>
        <w:tc>
          <w:tcPr>
            <w:tcW w:w="8484"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765442" w:rsidRPr="00D120D2" w:rsidRDefault="00765442" w:rsidP="00057167">
            <w:pPr>
              <w:spacing w:after="0" w:line="240" w:lineRule="auto"/>
              <w:jc w:val="both"/>
              <w:rPr>
                <w:b/>
                <w:bCs/>
                <w:color w:val="333333"/>
                <w:sz w:val="20"/>
                <w:szCs w:val="20"/>
              </w:rPr>
            </w:pPr>
            <w:r w:rsidRPr="00D120D2">
              <w:rPr>
                <w:rFonts w:ascii="Times New Roman" w:hAnsi="Times New Roman" w:cs="Times New Roman"/>
                <w:b/>
                <w:sz w:val="20"/>
                <w:szCs w:val="20"/>
              </w:rPr>
              <w:t>Учасником електронного аукціону (ю</w:t>
            </w:r>
            <w:r w:rsidRPr="00D120D2">
              <w:rPr>
                <w:rFonts w:ascii="Times New Roman" w:hAnsi="Times New Roman" w:cs="Times New Roman"/>
                <w:b/>
                <w:bCs/>
                <w:color w:val="333333"/>
                <w:sz w:val="20"/>
                <w:szCs w:val="20"/>
              </w:rPr>
              <w:t>ридичні особи та фізичні особи)</w:t>
            </w:r>
            <w:r w:rsidRPr="00D120D2">
              <w:rPr>
                <w:rFonts w:ascii="Times New Roman" w:hAnsi="Times New Roman" w:cs="Times New Roman"/>
                <w:b/>
                <w:sz w:val="20"/>
                <w:szCs w:val="20"/>
              </w:rPr>
              <w:t>, предметом продажу за яким є заставне майно боржників або їх майнових поручителів, не може бути користувач, який є позичальником (боржником відносно банку) та /або фінансовим поручителем (майновим поручителем) за такими кредитними договорами та / або договорами забезпечення.</w:t>
            </w:r>
          </w:p>
        </w:tc>
      </w:tr>
      <w:tr w:rsidR="00EF0578" w:rsidRPr="00D120D2" w:rsidTr="00302060">
        <w:tc>
          <w:tcPr>
            <w:tcW w:w="740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D120D2" w:rsidRDefault="00EF0578" w:rsidP="00EF0578">
            <w:pPr>
              <w:pStyle w:val="a4"/>
              <w:spacing w:before="0" w:beforeAutospacing="0" w:after="0" w:afterAutospacing="0"/>
              <w:contextualSpacing/>
              <w:rPr>
                <w:b/>
                <w:bCs/>
                <w:color w:val="333333"/>
                <w:sz w:val="20"/>
                <w:szCs w:val="20"/>
              </w:rPr>
            </w:pPr>
            <w:r w:rsidRPr="00D120D2">
              <w:rPr>
                <w:b/>
                <w:bCs/>
                <w:color w:val="333333"/>
                <w:sz w:val="20"/>
                <w:szCs w:val="20"/>
              </w:rPr>
              <w:t>Розмір гарантійного внеску</w:t>
            </w:r>
          </w:p>
        </w:tc>
        <w:tc>
          <w:tcPr>
            <w:tcW w:w="8484"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D120D2" w:rsidRDefault="00EF0578" w:rsidP="00EF0578">
            <w:pPr>
              <w:pStyle w:val="a4"/>
              <w:spacing w:before="0" w:beforeAutospacing="0" w:after="0" w:afterAutospacing="0"/>
              <w:contextualSpacing/>
              <w:rPr>
                <w:b/>
                <w:bCs/>
                <w:color w:val="333333"/>
                <w:sz w:val="20"/>
                <w:szCs w:val="20"/>
              </w:rPr>
            </w:pPr>
            <w:r w:rsidRPr="00D120D2">
              <w:rPr>
                <w:b/>
                <w:bCs/>
                <w:color w:val="333333"/>
                <w:sz w:val="20"/>
                <w:szCs w:val="20"/>
              </w:rPr>
              <w:t>10% (десять) відсотків від початкової (стартової) ціни лотів</w:t>
            </w:r>
          </w:p>
        </w:tc>
      </w:tr>
      <w:tr w:rsidR="00EF0578" w:rsidRPr="00D120D2" w:rsidTr="00302060">
        <w:tc>
          <w:tcPr>
            <w:tcW w:w="740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D120D2" w:rsidRDefault="00EF0578" w:rsidP="00EF0578">
            <w:pPr>
              <w:pStyle w:val="a4"/>
              <w:spacing w:before="0" w:beforeAutospacing="0" w:after="0" w:afterAutospacing="0"/>
              <w:contextualSpacing/>
              <w:rPr>
                <w:b/>
                <w:bCs/>
                <w:color w:val="333333"/>
                <w:sz w:val="20"/>
                <w:szCs w:val="20"/>
              </w:rPr>
            </w:pPr>
            <w:r w:rsidRPr="00D120D2">
              <w:rPr>
                <w:b/>
                <w:bCs/>
                <w:color w:val="333333"/>
                <w:sz w:val="20"/>
                <w:szCs w:val="20"/>
              </w:rPr>
              <w:t>Вимоги щодо кількості зареєстрованих учасників відкритих торгів (аукціону)</w:t>
            </w:r>
          </w:p>
        </w:tc>
        <w:tc>
          <w:tcPr>
            <w:tcW w:w="8484"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B259C2" w:rsidRPr="00D120D2" w:rsidRDefault="00B259C2" w:rsidP="00B259C2">
            <w:pPr>
              <w:pStyle w:val="a4"/>
              <w:spacing w:before="0" w:beforeAutospacing="0" w:after="0" w:afterAutospacing="0"/>
              <w:contextualSpacing/>
              <w:rPr>
                <w:b/>
                <w:bCs/>
                <w:color w:val="333333"/>
                <w:sz w:val="20"/>
                <w:szCs w:val="20"/>
              </w:rPr>
            </w:pPr>
            <w:r w:rsidRPr="00D120D2">
              <w:rPr>
                <w:b/>
                <w:bCs/>
                <w:color w:val="333333"/>
                <w:sz w:val="20"/>
                <w:szCs w:val="20"/>
              </w:rPr>
              <w:t>Мінімальна кількість учасників 1</w:t>
            </w:r>
          </w:p>
          <w:p w:rsidR="00EF0578" w:rsidRPr="00D120D2" w:rsidRDefault="00EF0578" w:rsidP="00B259C2">
            <w:pPr>
              <w:pStyle w:val="a4"/>
              <w:spacing w:before="0" w:beforeAutospacing="0" w:after="0" w:afterAutospacing="0"/>
              <w:contextualSpacing/>
              <w:rPr>
                <w:b/>
                <w:bCs/>
                <w:color w:val="333333"/>
                <w:sz w:val="20"/>
                <w:szCs w:val="20"/>
              </w:rPr>
            </w:pPr>
          </w:p>
        </w:tc>
      </w:tr>
      <w:tr w:rsidR="00EF0578" w:rsidRPr="00D120D2" w:rsidTr="00302060">
        <w:tc>
          <w:tcPr>
            <w:tcW w:w="740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D120D2" w:rsidRDefault="00EF0578" w:rsidP="00EF0578">
            <w:pPr>
              <w:pStyle w:val="a4"/>
              <w:spacing w:before="0" w:beforeAutospacing="0" w:after="0" w:afterAutospacing="0"/>
              <w:contextualSpacing/>
              <w:rPr>
                <w:b/>
                <w:bCs/>
                <w:color w:val="333333"/>
                <w:sz w:val="20"/>
                <w:szCs w:val="20"/>
              </w:rPr>
            </w:pPr>
            <w:r w:rsidRPr="00D120D2">
              <w:rPr>
                <w:b/>
                <w:bCs/>
                <w:color w:val="333333"/>
                <w:sz w:val="20"/>
                <w:szCs w:val="20"/>
              </w:rPr>
              <w:t>Банківські реквізити для перерахування гарантійного внеску</w:t>
            </w:r>
          </w:p>
        </w:tc>
        <w:tc>
          <w:tcPr>
            <w:tcW w:w="8484"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D120D2" w:rsidRDefault="00EF0578" w:rsidP="00057167">
            <w:pPr>
              <w:pStyle w:val="a4"/>
              <w:spacing w:before="0" w:beforeAutospacing="0" w:after="0" w:afterAutospacing="0"/>
              <w:contextualSpacing/>
              <w:jc w:val="both"/>
              <w:rPr>
                <w:b/>
                <w:bCs/>
                <w:color w:val="333333"/>
                <w:sz w:val="20"/>
                <w:szCs w:val="20"/>
              </w:rPr>
            </w:pPr>
            <w:r w:rsidRPr="00D120D2">
              <w:rPr>
                <w:b/>
                <w:bCs/>
                <w:color w:val="333333"/>
                <w:sz w:val="20"/>
                <w:szCs w:val="20"/>
              </w:rPr>
              <w:t>Гарантійний внесок сплачується шляхом внесення учасниками грошових коштів на поточний рахунок оп</w:t>
            </w:r>
            <w:r w:rsidR="00985C51" w:rsidRPr="00D120D2">
              <w:rPr>
                <w:b/>
                <w:bCs/>
                <w:color w:val="333333"/>
                <w:sz w:val="20"/>
                <w:szCs w:val="20"/>
              </w:rPr>
              <w:t xml:space="preserve">ератора </w:t>
            </w:r>
            <w:r w:rsidRPr="00D120D2">
              <w:rPr>
                <w:b/>
                <w:bCs/>
                <w:color w:val="333333"/>
                <w:sz w:val="20"/>
                <w:szCs w:val="20"/>
              </w:rPr>
              <w:t xml:space="preserve">на електронному майданчику якого зареєструвався учасник. </w:t>
            </w:r>
          </w:p>
        </w:tc>
      </w:tr>
      <w:tr w:rsidR="00EF0578" w:rsidRPr="00D120D2" w:rsidTr="00302060">
        <w:tc>
          <w:tcPr>
            <w:tcW w:w="740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D120D2" w:rsidRDefault="00EF0578" w:rsidP="00EF0578">
            <w:pPr>
              <w:pStyle w:val="a4"/>
              <w:spacing w:before="0" w:beforeAutospacing="0" w:after="0" w:afterAutospacing="0"/>
              <w:contextualSpacing/>
              <w:rPr>
                <w:b/>
                <w:bCs/>
                <w:color w:val="333333"/>
                <w:sz w:val="20"/>
                <w:szCs w:val="20"/>
              </w:rPr>
            </w:pPr>
            <w:r w:rsidRPr="00D120D2">
              <w:rPr>
                <w:b/>
                <w:bCs/>
                <w:color w:val="333333"/>
                <w:sz w:val="20"/>
                <w:szCs w:val="20"/>
              </w:rPr>
              <w:t>Крок аукціону</w:t>
            </w:r>
          </w:p>
        </w:tc>
        <w:tc>
          <w:tcPr>
            <w:tcW w:w="8484"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D120D2" w:rsidRDefault="00EF0578" w:rsidP="00EF0578">
            <w:pPr>
              <w:pStyle w:val="a4"/>
              <w:spacing w:before="0" w:beforeAutospacing="0" w:after="0" w:afterAutospacing="0"/>
              <w:contextualSpacing/>
              <w:rPr>
                <w:b/>
                <w:bCs/>
                <w:color w:val="333333"/>
                <w:sz w:val="20"/>
                <w:szCs w:val="20"/>
              </w:rPr>
            </w:pPr>
            <w:r w:rsidRPr="00D120D2">
              <w:rPr>
                <w:b/>
                <w:bCs/>
                <w:color w:val="333333"/>
                <w:sz w:val="20"/>
                <w:szCs w:val="20"/>
              </w:rPr>
              <w:t>Крок аукціону – не менше 1 % від початкової ціни реалізації лотів</w:t>
            </w:r>
          </w:p>
        </w:tc>
      </w:tr>
      <w:tr w:rsidR="00EF0578" w:rsidRPr="00D120D2" w:rsidTr="00302060">
        <w:tc>
          <w:tcPr>
            <w:tcW w:w="740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D120D2" w:rsidRDefault="00EF0578" w:rsidP="00EF0578">
            <w:pPr>
              <w:pStyle w:val="a4"/>
              <w:spacing w:before="0" w:beforeAutospacing="0" w:after="0" w:afterAutospacing="0"/>
              <w:contextualSpacing/>
              <w:rPr>
                <w:b/>
                <w:bCs/>
                <w:color w:val="333333"/>
                <w:sz w:val="20"/>
                <w:szCs w:val="20"/>
              </w:rPr>
            </w:pPr>
            <w:r w:rsidRPr="00D120D2">
              <w:rPr>
                <w:b/>
                <w:bCs/>
                <w:color w:val="333333"/>
                <w:sz w:val="20"/>
                <w:szCs w:val="20"/>
              </w:rPr>
              <w:t>Порядок ознайомлення з активом у кімнаті даних</w:t>
            </w:r>
          </w:p>
        </w:tc>
        <w:tc>
          <w:tcPr>
            <w:tcW w:w="8484"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D120D2" w:rsidRDefault="00EF0578" w:rsidP="00616429">
            <w:pPr>
              <w:pStyle w:val="a4"/>
              <w:spacing w:before="0" w:beforeAutospacing="0" w:after="0" w:afterAutospacing="0"/>
              <w:contextualSpacing/>
              <w:jc w:val="both"/>
              <w:rPr>
                <w:b/>
                <w:bCs/>
                <w:color w:val="333333"/>
                <w:sz w:val="20"/>
                <w:szCs w:val="20"/>
              </w:rPr>
            </w:pPr>
            <w:r w:rsidRPr="00D120D2">
              <w:rPr>
                <w:b/>
                <w:bCs/>
                <w:color w:val="333333"/>
                <w:sz w:val="20"/>
                <w:szCs w:val="20"/>
              </w:rPr>
              <w:t xml:space="preserve">Для ознайомлення з </w:t>
            </w:r>
            <w:r w:rsidR="00011C1A" w:rsidRPr="00D120D2">
              <w:rPr>
                <w:b/>
                <w:bCs/>
                <w:color w:val="333333"/>
                <w:sz w:val="20"/>
                <w:szCs w:val="20"/>
              </w:rPr>
              <w:t xml:space="preserve">документами по </w:t>
            </w:r>
            <w:r w:rsidR="00616429" w:rsidRPr="00D120D2">
              <w:rPr>
                <w:b/>
                <w:bCs/>
                <w:color w:val="333333"/>
                <w:sz w:val="20"/>
                <w:szCs w:val="20"/>
              </w:rPr>
              <w:t>майн</w:t>
            </w:r>
            <w:r w:rsidR="00011C1A" w:rsidRPr="00D120D2">
              <w:rPr>
                <w:b/>
                <w:bCs/>
                <w:color w:val="333333"/>
                <w:sz w:val="20"/>
                <w:szCs w:val="20"/>
              </w:rPr>
              <w:t>у</w:t>
            </w:r>
            <w:r w:rsidRPr="00D120D2">
              <w:rPr>
                <w:b/>
                <w:bCs/>
                <w:color w:val="333333"/>
                <w:sz w:val="20"/>
                <w:szCs w:val="20"/>
              </w:rPr>
              <w:t xml:space="preserve"> у кімнаті даних необхідно подати заявку про зацікавленість у придбанні активу та підписати Договір щодо нерозголошення потенційним покупцем інформації з обмеженим доступом та банківської таємниці. Заявки подаються в паперовому та електронному вигляді на наступні адреси:</w:t>
            </w:r>
          </w:p>
          <w:p w:rsidR="00EF0578" w:rsidRPr="00D120D2" w:rsidRDefault="00EF0578" w:rsidP="00723B59">
            <w:pPr>
              <w:pStyle w:val="a4"/>
              <w:numPr>
                <w:ilvl w:val="0"/>
                <w:numId w:val="1"/>
              </w:numPr>
              <w:spacing w:before="0" w:beforeAutospacing="0" w:after="0" w:afterAutospacing="0"/>
              <w:contextualSpacing/>
              <w:rPr>
                <w:b/>
                <w:bCs/>
                <w:color w:val="333333"/>
                <w:sz w:val="20"/>
                <w:szCs w:val="20"/>
              </w:rPr>
            </w:pPr>
            <w:r w:rsidRPr="00D120D2">
              <w:rPr>
                <w:b/>
                <w:bCs/>
                <w:color w:val="333333"/>
                <w:sz w:val="20"/>
                <w:szCs w:val="20"/>
              </w:rPr>
              <w:t xml:space="preserve">АТ «БАНК СІЧ» м. Київ, пров. Несторівський, буд. </w:t>
            </w:r>
            <w:r w:rsidR="00A76F37" w:rsidRPr="00D120D2">
              <w:rPr>
                <w:b/>
                <w:bCs/>
                <w:color w:val="333333"/>
                <w:sz w:val="20"/>
                <w:szCs w:val="20"/>
              </w:rPr>
              <w:t>6</w:t>
            </w:r>
          </w:p>
          <w:p w:rsidR="00A76F37" w:rsidRPr="00D120D2" w:rsidRDefault="00A76F37" w:rsidP="00723B59">
            <w:pPr>
              <w:pStyle w:val="a4"/>
              <w:numPr>
                <w:ilvl w:val="0"/>
                <w:numId w:val="1"/>
              </w:numPr>
              <w:spacing w:before="0" w:beforeAutospacing="0" w:after="0" w:afterAutospacing="0"/>
              <w:contextualSpacing/>
              <w:rPr>
                <w:b/>
                <w:bCs/>
                <w:color w:val="333333"/>
                <w:sz w:val="20"/>
                <w:szCs w:val="20"/>
              </w:rPr>
            </w:pPr>
            <w:r w:rsidRPr="00D120D2">
              <w:rPr>
                <w:b/>
                <w:bCs/>
                <w:color w:val="333333"/>
                <w:sz w:val="20"/>
                <w:szCs w:val="20"/>
              </w:rPr>
              <w:t>Рудаковська Анжеліка; e-mail :</w:t>
            </w:r>
            <w:r w:rsidRPr="00D120D2">
              <w:rPr>
                <w:rStyle w:val="object"/>
                <w:b/>
                <w:sz w:val="20"/>
                <w:szCs w:val="20"/>
              </w:rPr>
              <w:t xml:space="preserve"> a.rudakovska@sichbank.com</w:t>
            </w:r>
          </w:p>
        </w:tc>
      </w:tr>
      <w:tr w:rsidR="00EF0578" w:rsidRPr="00D120D2" w:rsidTr="00302060">
        <w:tc>
          <w:tcPr>
            <w:tcW w:w="740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D120D2" w:rsidRDefault="00EF0578" w:rsidP="00EF0578">
            <w:pPr>
              <w:pStyle w:val="a4"/>
              <w:spacing w:before="0" w:beforeAutospacing="0" w:after="0" w:afterAutospacing="0"/>
              <w:contextualSpacing/>
              <w:rPr>
                <w:b/>
                <w:bCs/>
                <w:color w:val="333333"/>
                <w:sz w:val="20"/>
                <w:szCs w:val="20"/>
              </w:rPr>
            </w:pPr>
            <w:r w:rsidRPr="00D120D2">
              <w:rPr>
                <w:b/>
                <w:bCs/>
                <w:color w:val="333333"/>
                <w:sz w:val="20"/>
                <w:szCs w:val="20"/>
              </w:rPr>
              <w:lastRenderedPageBreak/>
              <w:t>Контактна особа банку з питань ознайомлення з активом</w:t>
            </w:r>
          </w:p>
        </w:tc>
        <w:tc>
          <w:tcPr>
            <w:tcW w:w="8484"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D120D2" w:rsidRDefault="00A76F37" w:rsidP="00A76F37">
            <w:pPr>
              <w:spacing w:after="0" w:line="240" w:lineRule="auto"/>
              <w:contextualSpacing/>
              <w:rPr>
                <w:rFonts w:ascii="Times New Roman" w:hAnsi="Times New Roman" w:cs="Times New Roman"/>
                <w:b/>
                <w:bCs/>
                <w:color w:val="333333"/>
                <w:sz w:val="20"/>
                <w:szCs w:val="20"/>
              </w:rPr>
            </w:pPr>
            <w:r w:rsidRPr="00D120D2">
              <w:rPr>
                <w:rFonts w:ascii="Times New Roman" w:hAnsi="Times New Roman" w:cs="Times New Roman"/>
                <w:b/>
                <w:bCs/>
                <w:color w:val="333333"/>
                <w:sz w:val="20"/>
                <w:szCs w:val="20"/>
              </w:rPr>
              <w:t>Рудаковська Анжеліка</w:t>
            </w:r>
            <w:r w:rsidR="00011C1A" w:rsidRPr="00D120D2">
              <w:rPr>
                <w:rFonts w:ascii="Times New Roman" w:hAnsi="Times New Roman" w:cs="Times New Roman"/>
                <w:b/>
                <w:bCs/>
                <w:color w:val="333333"/>
                <w:sz w:val="20"/>
                <w:szCs w:val="20"/>
              </w:rPr>
              <w:t>,</w:t>
            </w:r>
            <w:r w:rsidRPr="00D120D2">
              <w:rPr>
                <w:rFonts w:ascii="Times New Roman" w:hAnsi="Times New Roman" w:cs="Times New Roman"/>
                <w:b/>
                <w:bCs/>
                <w:color w:val="333333"/>
                <w:sz w:val="20"/>
                <w:szCs w:val="20"/>
              </w:rPr>
              <w:t xml:space="preserve"> </w:t>
            </w:r>
            <w:r w:rsidR="00EF0578" w:rsidRPr="00D120D2">
              <w:rPr>
                <w:rFonts w:ascii="Times New Roman" w:hAnsi="Times New Roman" w:cs="Times New Roman"/>
                <w:b/>
                <w:bCs/>
                <w:color w:val="333333"/>
                <w:sz w:val="20"/>
                <w:szCs w:val="20"/>
              </w:rPr>
              <w:t>(0</w:t>
            </w:r>
            <w:r w:rsidRPr="00D120D2">
              <w:rPr>
                <w:rFonts w:ascii="Times New Roman" w:hAnsi="Times New Roman" w:cs="Times New Roman"/>
                <w:b/>
                <w:bCs/>
                <w:color w:val="333333"/>
                <w:sz w:val="20"/>
                <w:szCs w:val="20"/>
              </w:rPr>
              <w:t>67</w:t>
            </w:r>
            <w:r w:rsidR="00EF0578" w:rsidRPr="00D120D2">
              <w:rPr>
                <w:rFonts w:ascii="Times New Roman" w:hAnsi="Times New Roman" w:cs="Times New Roman"/>
                <w:b/>
                <w:bCs/>
                <w:color w:val="333333"/>
                <w:sz w:val="20"/>
                <w:szCs w:val="20"/>
              </w:rPr>
              <w:t>)</w:t>
            </w:r>
            <w:r w:rsidRPr="00D120D2">
              <w:rPr>
                <w:rFonts w:ascii="Times New Roman" w:hAnsi="Times New Roman" w:cs="Times New Roman"/>
                <w:b/>
                <w:bCs/>
                <w:color w:val="333333"/>
                <w:sz w:val="20"/>
                <w:szCs w:val="20"/>
              </w:rPr>
              <w:t>527</w:t>
            </w:r>
            <w:r w:rsidR="00EF0578" w:rsidRPr="00D120D2">
              <w:rPr>
                <w:rFonts w:ascii="Times New Roman" w:hAnsi="Times New Roman" w:cs="Times New Roman"/>
                <w:b/>
                <w:bCs/>
                <w:color w:val="333333"/>
                <w:sz w:val="20"/>
                <w:szCs w:val="20"/>
              </w:rPr>
              <w:t>-</w:t>
            </w:r>
            <w:r w:rsidRPr="00D120D2">
              <w:rPr>
                <w:rFonts w:ascii="Times New Roman" w:hAnsi="Times New Roman" w:cs="Times New Roman"/>
                <w:b/>
                <w:bCs/>
                <w:color w:val="333333"/>
                <w:sz w:val="20"/>
                <w:szCs w:val="20"/>
              </w:rPr>
              <w:t>74</w:t>
            </w:r>
            <w:r w:rsidR="00EF0578" w:rsidRPr="00D120D2">
              <w:rPr>
                <w:rFonts w:ascii="Times New Roman" w:hAnsi="Times New Roman" w:cs="Times New Roman"/>
                <w:b/>
                <w:bCs/>
                <w:color w:val="333333"/>
                <w:sz w:val="20"/>
                <w:szCs w:val="20"/>
              </w:rPr>
              <w:t>-</w:t>
            </w:r>
            <w:r w:rsidRPr="00D120D2">
              <w:rPr>
                <w:rFonts w:ascii="Times New Roman" w:hAnsi="Times New Roman" w:cs="Times New Roman"/>
                <w:b/>
                <w:bCs/>
                <w:color w:val="333333"/>
                <w:sz w:val="20"/>
                <w:szCs w:val="20"/>
              </w:rPr>
              <w:t>10</w:t>
            </w:r>
            <w:r w:rsidR="00EF0578" w:rsidRPr="00D120D2">
              <w:rPr>
                <w:rFonts w:ascii="Times New Roman" w:hAnsi="Times New Roman" w:cs="Times New Roman"/>
                <w:b/>
                <w:bCs/>
                <w:color w:val="333333"/>
                <w:sz w:val="20"/>
                <w:szCs w:val="20"/>
              </w:rPr>
              <w:t>; e-mail </w:t>
            </w:r>
            <w:r w:rsidRPr="00D120D2">
              <w:rPr>
                <w:rStyle w:val="object"/>
                <w:rFonts w:ascii="Times New Roman" w:hAnsi="Times New Roman" w:cs="Times New Roman"/>
                <w:b/>
                <w:sz w:val="20"/>
                <w:szCs w:val="20"/>
              </w:rPr>
              <w:t>a.rudakovska@sichbank.com</w:t>
            </w:r>
          </w:p>
        </w:tc>
      </w:tr>
      <w:tr w:rsidR="00EF0578" w:rsidRPr="00D120D2" w:rsidTr="00302060">
        <w:trPr>
          <w:trHeight w:val="20"/>
        </w:trPr>
        <w:tc>
          <w:tcPr>
            <w:tcW w:w="740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D120D2" w:rsidRDefault="00EF0578" w:rsidP="00EF0578">
            <w:pPr>
              <w:pStyle w:val="a4"/>
              <w:spacing w:before="0" w:beforeAutospacing="0" w:after="0" w:afterAutospacing="0"/>
              <w:contextualSpacing/>
              <w:rPr>
                <w:b/>
                <w:bCs/>
                <w:color w:val="333333"/>
                <w:sz w:val="20"/>
                <w:szCs w:val="20"/>
              </w:rPr>
            </w:pPr>
            <w:r w:rsidRPr="00D120D2">
              <w:rPr>
                <w:b/>
                <w:bCs/>
                <w:color w:val="333333"/>
                <w:sz w:val="20"/>
                <w:szCs w:val="20"/>
              </w:rPr>
              <w:t>Дата проведення відкритих торгів (аукціону)</w:t>
            </w:r>
          </w:p>
        </w:tc>
        <w:tc>
          <w:tcPr>
            <w:tcW w:w="8484"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D120D2" w:rsidRDefault="001142DE" w:rsidP="00F22FFD">
            <w:pPr>
              <w:pStyle w:val="a4"/>
              <w:spacing w:before="0" w:beforeAutospacing="0" w:after="0" w:afterAutospacing="0"/>
              <w:contextualSpacing/>
              <w:rPr>
                <w:b/>
                <w:bCs/>
                <w:color w:val="333333"/>
                <w:sz w:val="20"/>
                <w:szCs w:val="20"/>
              </w:rPr>
            </w:pPr>
            <w:r w:rsidRPr="00D120D2">
              <w:rPr>
                <w:b/>
                <w:bCs/>
                <w:color w:val="333333"/>
                <w:sz w:val="20"/>
                <w:szCs w:val="20"/>
              </w:rPr>
              <w:t>3</w:t>
            </w:r>
            <w:r w:rsidR="002D79DB" w:rsidRPr="00D120D2">
              <w:rPr>
                <w:b/>
                <w:bCs/>
                <w:color w:val="333333"/>
                <w:sz w:val="20"/>
                <w:szCs w:val="20"/>
              </w:rPr>
              <w:t>1</w:t>
            </w:r>
            <w:r w:rsidR="00675794" w:rsidRPr="00D120D2">
              <w:rPr>
                <w:b/>
                <w:bCs/>
                <w:color w:val="333333"/>
                <w:sz w:val="20"/>
                <w:szCs w:val="20"/>
              </w:rPr>
              <w:t>.</w:t>
            </w:r>
            <w:r w:rsidR="00EF0578" w:rsidRPr="00D120D2">
              <w:rPr>
                <w:b/>
                <w:bCs/>
                <w:color w:val="333333"/>
                <w:sz w:val="20"/>
                <w:szCs w:val="20"/>
              </w:rPr>
              <w:t>0</w:t>
            </w:r>
            <w:r w:rsidR="009B26BD" w:rsidRPr="00D120D2">
              <w:rPr>
                <w:b/>
                <w:bCs/>
                <w:color w:val="333333"/>
                <w:sz w:val="20"/>
                <w:szCs w:val="20"/>
              </w:rPr>
              <w:t>7</w:t>
            </w:r>
            <w:r w:rsidR="00EF0578" w:rsidRPr="00D120D2">
              <w:rPr>
                <w:b/>
                <w:bCs/>
                <w:color w:val="333333"/>
                <w:sz w:val="20"/>
                <w:szCs w:val="20"/>
              </w:rPr>
              <w:t>.2023</w:t>
            </w:r>
          </w:p>
        </w:tc>
      </w:tr>
      <w:tr w:rsidR="00EF0578" w:rsidRPr="00D120D2" w:rsidTr="00302060">
        <w:tc>
          <w:tcPr>
            <w:tcW w:w="740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D120D2" w:rsidRDefault="00EF0578" w:rsidP="00EF0578">
            <w:pPr>
              <w:pStyle w:val="a4"/>
              <w:spacing w:before="0" w:beforeAutospacing="0" w:after="0" w:afterAutospacing="0"/>
              <w:contextualSpacing/>
              <w:rPr>
                <w:b/>
                <w:bCs/>
                <w:color w:val="333333"/>
                <w:sz w:val="20"/>
                <w:szCs w:val="20"/>
              </w:rPr>
            </w:pPr>
            <w:r w:rsidRPr="00D120D2">
              <w:rPr>
                <w:b/>
                <w:bCs/>
                <w:color w:val="333333"/>
                <w:sz w:val="20"/>
                <w:szCs w:val="20"/>
              </w:rPr>
              <w:t>Час проведення відкритих торгів (аукціону)/електронного аукціону</w:t>
            </w:r>
          </w:p>
        </w:tc>
        <w:tc>
          <w:tcPr>
            <w:tcW w:w="8484"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D120D2" w:rsidRDefault="00EF0578" w:rsidP="00057167">
            <w:pPr>
              <w:pStyle w:val="a4"/>
              <w:spacing w:before="0" w:beforeAutospacing="0" w:after="0" w:afterAutospacing="0"/>
              <w:contextualSpacing/>
              <w:rPr>
                <w:b/>
                <w:bCs/>
                <w:color w:val="333333"/>
                <w:sz w:val="20"/>
                <w:szCs w:val="20"/>
              </w:rPr>
            </w:pPr>
            <w:r w:rsidRPr="00D120D2">
              <w:rPr>
                <w:b/>
                <w:bCs/>
                <w:color w:val="333333"/>
                <w:sz w:val="20"/>
                <w:szCs w:val="20"/>
              </w:rPr>
              <w:t>Точний час початку проведення відкритих торгів (аукціону) по кожному лоту вказується на веб-сайт</w:t>
            </w:r>
            <w:r w:rsidR="00723B59" w:rsidRPr="00D120D2">
              <w:rPr>
                <w:b/>
                <w:bCs/>
                <w:color w:val="333333"/>
                <w:sz w:val="20"/>
                <w:szCs w:val="20"/>
              </w:rPr>
              <w:t>і</w:t>
            </w:r>
            <w:r w:rsidRPr="00D120D2">
              <w:rPr>
                <w:b/>
                <w:bCs/>
                <w:color w:val="333333"/>
                <w:sz w:val="20"/>
                <w:szCs w:val="20"/>
              </w:rPr>
              <w:t xml:space="preserve"> </w:t>
            </w:r>
            <w:r w:rsidR="00616429" w:rsidRPr="00D120D2">
              <w:rPr>
                <w:b/>
                <w:bCs/>
                <w:color w:val="333333"/>
                <w:sz w:val="20"/>
                <w:szCs w:val="20"/>
              </w:rPr>
              <w:t>оператор</w:t>
            </w:r>
            <w:r w:rsidR="00057167" w:rsidRPr="00D120D2">
              <w:rPr>
                <w:b/>
                <w:bCs/>
                <w:color w:val="333333"/>
                <w:sz w:val="20"/>
                <w:szCs w:val="20"/>
              </w:rPr>
              <w:t>а</w:t>
            </w:r>
            <w:r w:rsidR="00616429" w:rsidRPr="00D120D2">
              <w:rPr>
                <w:b/>
                <w:bCs/>
                <w:color w:val="333333"/>
                <w:sz w:val="20"/>
                <w:szCs w:val="20"/>
              </w:rPr>
              <w:t xml:space="preserve"> електронн</w:t>
            </w:r>
            <w:r w:rsidR="00057167" w:rsidRPr="00D120D2">
              <w:rPr>
                <w:b/>
                <w:bCs/>
                <w:color w:val="333333"/>
                <w:sz w:val="20"/>
                <w:szCs w:val="20"/>
              </w:rPr>
              <w:t>ого</w:t>
            </w:r>
            <w:r w:rsidR="00616429" w:rsidRPr="00D120D2">
              <w:rPr>
                <w:b/>
                <w:bCs/>
                <w:color w:val="333333"/>
                <w:sz w:val="20"/>
                <w:szCs w:val="20"/>
              </w:rPr>
              <w:t xml:space="preserve"> майданчик</w:t>
            </w:r>
            <w:r w:rsidR="00057167" w:rsidRPr="00D120D2">
              <w:rPr>
                <w:b/>
                <w:bCs/>
                <w:color w:val="333333"/>
                <w:sz w:val="20"/>
                <w:szCs w:val="20"/>
              </w:rPr>
              <w:t>а</w:t>
            </w:r>
            <w:r w:rsidR="00616429" w:rsidRPr="00D120D2">
              <w:rPr>
                <w:b/>
                <w:bCs/>
                <w:color w:val="333333"/>
                <w:sz w:val="20"/>
                <w:szCs w:val="20"/>
              </w:rPr>
              <w:t xml:space="preserve"> </w:t>
            </w:r>
          </w:p>
        </w:tc>
      </w:tr>
      <w:tr w:rsidR="00EF0578" w:rsidRPr="00D120D2" w:rsidTr="00302060">
        <w:tc>
          <w:tcPr>
            <w:tcW w:w="740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D120D2" w:rsidRDefault="00EF0578" w:rsidP="00EF0578">
            <w:pPr>
              <w:pStyle w:val="a4"/>
              <w:spacing w:before="0" w:beforeAutospacing="0" w:after="0" w:afterAutospacing="0"/>
              <w:contextualSpacing/>
              <w:rPr>
                <w:b/>
                <w:bCs/>
                <w:color w:val="333333"/>
                <w:sz w:val="20"/>
                <w:szCs w:val="20"/>
              </w:rPr>
            </w:pPr>
            <w:r w:rsidRPr="00D120D2">
              <w:rPr>
                <w:b/>
                <w:bCs/>
                <w:color w:val="333333"/>
                <w:sz w:val="20"/>
                <w:szCs w:val="20"/>
              </w:rPr>
              <w:t>Термін прийняття заяв про участь у відкритих торгах (аукціоні)</w:t>
            </w:r>
          </w:p>
        </w:tc>
        <w:tc>
          <w:tcPr>
            <w:tcW w:w="8484"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D120D2" w:rsidRDefault="00EF0578" w:rsidP="00EF0578">
            <w:pPr>
              <w:pStyle w:val="a4"/>
              <w:spacing w:before="0" w:beforeAutospacing="0" w:after="0" w:afterAutospacing="0"/>
              <w:contextualSpacing/>
              <w:rPr>
                <w:b/>
                <w:bCs/>
                <w:color w:val="333333"/>
                <w:sz w:val="20"/>
                <w:szCs w:val="20"/>
              </w:rPr>
            </w:pPr>
            <w:r w:rsidRPr="00D120D2">
              <w:rPr>
                <w:b/>
                <w:bCs/>
                <w:color w:val="333333"/>
                <w:sz w:val="20"/>
                <w:szCs w:val="20"/>
              </w:rPr>
              <w:t>Дата початку прийняття заяв – з дати публікації оголошення.</w:t>
            </w:r>
          </w:p>
          <w:p w:rsidR="00EF0578" w:rsidRPr="00D120D2" w:rsidRDefault="00EF0578" w:rsidP="001142DE">
            <w:pPr>
              <w:pStyle w:val="a4"/>
              <w:spacing w:before="0" w:beforeAutospacing="0" w:after="0" w:afterAutospacing="0"/>
              <w:contextualSpacing/>
              <w:rPr>
                <w:b/>
                <w:bCs/>
                <w:color w:val="333333"/>
                <w:sz w:val="20"/>
                <w:szCs w:val="20"/>
              </w:rPr>
            </w:pPr>
            <w:r w:rsidRPr="00D120D2">
              <w:rPr>
                <w:b/>
                <w:bCs/>
                <w:color w:val="333333"/>
                <w:sz w:val="20"/>
                <w:szCs w:val="20"/>
              </w:rPr>
              <w:t xml:space="preserve">Кінцевий термін прийняття заяв: </w:t>
            </w:r>
            <w:r w:rsidR="001142DE" w:rsidRPr="00D120D2">
              <w:rPr>
                <w:b/>
                <w:bCs/>
                <w:color w:val="333333"/>
                <w:sz w:val="20"/>
                <w:szCs w:val="20"/>
              </w:rPr>
              <w:t>3</w:t>
            </w:r>
            <w:r w:rsidR="00F22FFD" w:rsidRPr="00D120D2">
              <w:rPr>
                <w:b/>
                <w:bCs/>
                <w:color w:val="333333"/>
                <w:sz w:val="20"/>
                <w:szCs w:val="20"/>
              </w:rPr>
              <w:t>0</w:t>
            </w:r>
            <w:r w:rsidRPr="00D120D2">
              <w:rPr>
                <w:b/>
                <w:bCs/>
                <w:color w:val="333333"/>
                <w:sz w:val="20"/>
                <w:szCs w:val="20"/>
              </w:rPr>
              <w:t>.0</w:t>
            </w:r>
            <w:r w:rsidR="009B26BD" w:rsidRPr="00D120D2">
              <w:rPr>
                <w:b/>
                <w:bCs/>
                <w:color w:val="333333"/>
                <w:sz w:val="20"/>
                <w:szCs w:val="20"/>
              </w:rPr>
              <w:t>7</w:t>
            </w:r>
            <w:r w:rsidRPr="00D120D2">
              <w:rPr>
                <w:b/>
                <w:bCs/>
                <w:color w:val="333333"/>
                <w:sz w:val="20"/>
                <w:szCs w:val="20"/>
              </w:rPr>
              <w:t>.2023 до 20:00</w:t>
            </w:r>
          </w:p>
        </w:tc>
      </w:tr>
      <w:tr w:rsidR="00EF0578" w:rsidRPr="00D120D2" w:rsidTr="00302060">
        <w:trPr>
          <w:trHeight w:val="20"/>
        </w:trPr>
        <w:tc>
          <w:tcPr>
            <w:tcW w:w="740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D120D2" w:rsidRDefault="00EF0578" w:rsidP="00EF0578">
            <w:pPr>
              <w:pStyle w:val="a4"/>
              <w:spacing w:before="0" w:beforeAutospacing="0" w:after="0" w:afterAutospacing="0"/>
              <w:contextualSpacing/>
              <w:rPr>
                <w:b/>
                <w:bCs/>
                <w:color w:val="333333"/>
                <w:sz w:val="20"/>
                <w:szCs w:val="20"/>
              </w:rPr>
            </w:pPr>
            <w:r w:rsidRPr="00D120D2">
              <w:rPr>
                <w:b/>
                <w:bCs/>
                <w:color w:val="333333"/>
                <w:sz w:val="20"/>
                <w:szCs w:val="20"/>
              </w:rPr>
              <w:t>Електронна адреса для доступу до відкритих торгів (аукціону)/електронного аукціону</w:t>
            </w:r>
          </w:p>
        </w:tc>
        <w:tc>
          <w:tcPr>
            <w:tcW w:w="8484"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D120D2" w:rsidRDefault="0026028F" w:rsidP="00EF0578">
            <w:pPr>
              <w:pStyle w:val="a4"/>
              <w:spacing w:before="0" w:beforeAutospacing="0" w:after="0" w:afterAutospacing="0"/>
              <w:contextualSpacing/>
              <w:rPr>
                <w:b/>
                <w:bCs/>
                <w:color w:val="333333"/>
                <w:sz w:val="20"/>
                <w:szCs w:val="20"/>
              </w:rPr>
            </w:pPr>
            <w:hyperlink r:id="rId5" w:history="1">
              <w:r w:rsidR="00EF0578" w:rsidRPr="00D120D2">
                <w:rPr>
                  <w:rStyle w:val="a3"/>
                  <w:b/>
                  <w:bCs/>
                  <w:color w:val="005BA8"/>
                  <w:sz w:val="20"/>
                  <w:szCs w:val="20"/>
                </w:rPr>
                <w:t>www.prozorro.sale</w:t>
              </w:r>
            </w:hyperlink>
          </w:p>
        </w:tc>
      </w:tr>
      <w:tr w:rsidR="00EF0578" w:rsidRPr="00D120D2" w:rsidTr="00302060">
        <w:trPr>
          <w:trHeight w:val="1306"/>
        </w:trPr>
        <w:tc>
          <w:tcPr>
            <w:tcW w:w="740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D120D2" w:rsidRDefault="00EF0578" w:rsidP="00EF0578">
            <w:pPr>
              <w:pStyle w:val="a4"/>
              <w:spacing w:before="0" w:beforeAutospacing="0" w:after="0" w:afterAutospacing="0"/>
              <w:contextualSpacing/>
              <w:rPr>
                <w:b/>
                <w:bCs/>
                <w:color w:val="333333"/>
                <w:sz w:val="20"/>
                <w:szCs w:val="20"/>
              </w:rPr>
            </w:pPr>
            <w:r w:rsidRPr="00D120D2">
              <w:rPr>
                <w:b/>
                <w:bCs/>
                <w:color w:val="333333"/>
                <w:sz w:val="20"/>
                <w:szCs w:val="20"/>
              </w:rPr>
              <w:t>Кінцева дата перерахування гарантійного внеску</w:t>
            </w:r>
          </w:p>
        </w:tc>
        <w:tc>
          <w:tcPr>
            <w:tcW w:w="8484"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D120D2" w:rsidRDefault="001142DE" w:rsidP="00EF0578">
            <w:pPr>
              <w:pStyle w:val="a4"/>
              <w:spacing w:before="0" w:beforeAutospacing="0" w:after="0" w:afterAutospacing="0"/>
              <w:contextualSpacing/>
              <w:rPr>
                <w:b/>
                <w:bCs/>
                <w:color w:val="333333"/>
                <w:sz w:val="20"/>
                <w:szCs w:val="20"/>
              </w:rPr>
            </w:pPr>
            <w:r w:rsidRPr="00D120D2">
              <w:rPr>
                <w:b/>
                <w:bCs/>
                <w:color w:val="333333"/>
                <w:sz w:val="20"/>
                <w:szCs w:val="20"/>
              </w:rPr>
              <w:t>3</w:t>
            </w:r>
            <w:r w:rsidR="00F22FFD" w:rsidRPr="00D120D2">
              <w:rPr>
                <w:b/>
                <w:bCs/>
                <w:color w:val="333333"/>
                <w:sz w:val="20"/>
                <w:szCs w:val="20"/>
              </w:rPr>
              <w:t>0</w:t>
            </w:r>
            <w:r w:rsidR="00EF0578" w:rsidRPr="00D120D2">
              <w:rPr>
                <w:b/>
                <w:bCs/>
                <w:color w:val="333333"/>
                <w:sz w:val="20"/>
                <w:szCs w:val="20"/>
              </w:rPr>
              <w:t>.0</w:t>
            </w:r>
            <w:r w:rsidR="009B26BD" w:rsidRPr="00D120D2">
              <w:rPr>
                <w:b/>
                <w:bCs/>
                <w:color w:val="333333"/>
                <w:sz w:val="20"/>
                <w:szCs w:val="20"/>
              </w:rPr>
              <w:t>7</w:t>
            </w:r>
            <w:r w:rsidR="00EF0578" w:rsidRPr="00D120D2">
              <w:rPr>
                <w:b/>
                <w:bCs/>
                <w:color w:val="333333"/>
                <w:sz w:val="20"/>
                <w:szCs w:val="20"/>
              </w:rPr>
              <w:t>.2023 до 19:00</w:t>
            </w:r>
          </w:p>
          <w:p w:rsidR="00EF0578" w:rsidRPr="00D120D2" w:rsidRDefault="00EF0578" w:rsidP="003A6BB4">
            <w:pPr>
              <w:spacing w:after="0" w:line="240" w:lineRule="auto"/>
              <w:contextualSpacing/>
              <w:rPr>
                <w:rFonts w:ascii="Times New Roman" w:hAnsi="Times New Roman" w:cs="Times New Roman"/>
                <w:b/>
                <w:bCs/>
                <w:color w:val="333333"/>
                <w:sz w:val="20"/>
                <w:szCs w:val="20"/>
              </w:rPr>
            </w:pPr>
            <w:r w:rsidRPr="00D120D2">
              <w:rPr>
                <w:rFonts w:ascii="Times New Roman" w:hAnsi="Times New Roman" w:cs="Times New Roman"/>
                <w:b/>
                <w:bCs/>
                <w:color w:val="333333"/>
                <w:sz w:val="20"/>
                <w:szCs w:val="20"/>
              </w:rPr>
              <w:t xml:space="preserve">Гарантійний внесок вважається внесеним: - у випадку його зарахування на банківський рахунок оператора не пізніше ніж за одну годину до закінчення кінцевого терміну прийняття заяв про участь/прийняття закритих цінових пропозицій. </w:t>
            </w:r>
          </w:p>
        </w:tc>
      </w:tr>
      <w:tr w:rsidR="00EF0578" w:rsidRPr="00D120D2" w:rsidTr="00302060">
        <w:tc>
          <w:tcPr>
            <w:tcW w:w="740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D120D2" w:rsidRDefault="00EF0578" w:rsidP="00EF0578">
            <w:pPr>
              <w:pStyle w:val="a4"/>
              <w:spacing w:before="0" w:beforeAutospacing="0" w:after="0" w:afterAutospacing="0"/>
              <w:contextualSpacing/>
              <w:rPr>
                <w:b/>
                <w:bCs/>
                <w:color w:val="333333"/>
                <w:sz w:val="20"/>
                <w:szCs w:val="20"/>
              </w:rPr>
            </w:pPr>
            <w:r w:rsidRPr="00D120D2">
              <w:rPr>
                <w:b/>
                <w:bCs/>
                <w:color w:val="333333"/>
                <w:sz w:val="20"/>
                <w:szCs w:val="20"/>
              </w:rPr>
              <w:t>Розмір реєстраційного внеску</w:t>
            </w:r>
          </w:p>
        </w:tc>
        <w:tc>
          <w:tcPr>
            <w:tcW w:w="8484"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tcPr>
          <w:p w:rsidR="00EF0578" w:rsidRPr="00D120D2" w:rsidRDefault="00BA0451" w:rsidP="0085602E">
            <w:pPr>
              <w:pStyle w:val="a4"/>
              <w:spacing w:before="0" w:beforeAutospacing="0" w:after="0" w:afterAutospacing="0"/>
              <w:contextualSpacing/>
              <w:rPr>
                <w:b/>
                <w:bCs/>
                <w:color w:val="333333"/>
                <w:sz w:val="20"/>
                <w:szCs w:val="20"/>
              </w:rPr>
            </w:pPr>
            <w:r w:rsidRPr="00D120D2">
              <w:rPr>
                <w:b/>
                <w:bCs/>
                <w:color w:val="333333"/>
                <w:sz w:val="20"/>
                <w:szCs w:val="20"/>
              </w:rPr>
              <w:t>Реєстраційний внесок згідно підпункту 9.2., пункту 9. Регламенту ЦБД 2.</w:t>
            </w:r>
          </w:p>
        </w:tc>
      </w:tr>
      <w:tr w:rsidR="00EF0578" w:rsidRPr="00D120D2" w:rsidTr="00302060">
        <w:tc>
          <w:tcPr>
            <w:tcW w:w="15893" w:type="dxa"/>
            <w:gridSpan w:val="2"/>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057167" w:rsidRPr="00D120D2" w:rsidRDefault="00D56525" w:rsidP="00D56525">
            <w:pPr>
              <w:pStyle w:val="a4"/>
              <w:spacing w:before="0" w:beforeAutospacing="0" w:after="0" w:afterAutospacing="0"/>
              <w:rPr>
                <w:b/>
                <w:bCs/>
                <w:color w:val="333333"/>
                <w:sz w:val="20"/>
                <w:szCs w:val="20"/>
              </w:rPr>
            </w:pPr>
            <w:r w:rsidRPr="00D120D2">
              <w:rPr>
                <w:b/>
                <w:bCs/>
                <w:color w:val="333333"/>
                <w:sz w:val="20"/>
                <w:szCs w:val="20"/>
              </w:rPr>
              <w:t>Переможець зобов`язується:</w:t>
            </w:r>
          </w:p>
          <w:p w:rsidR="00D56525" w:rsidRPr="00D120D2" w:rsidRDefault="00057167" w:rsidP="00D56525">
            <w:pPr>
              <w:pStyle w:val="a4"/>
              <w:spacing w:before="0" w:beforeAutospacing="0" w:after="0" w:afterAutospacing="0"/>
              <w:rPr>
                <w:b/>
                <w:bCs/>
                <w:color w:val="333333"/>
                <w:sz w:val="20"/>
                <w:szCs w:val="20"/>
              </w:rPr>
            </w:pPr>
            <w:r w:rsidRPr="00D120D2">
              <w:rPr>
                <w:b/>
                <w:bCs/>
                <w:color w:val="333333"/>
                <w:sz w:val="20"/>
                <w:szCs w:val="20"/>
              </w:rPr>
              <w:t>∙ підписати протокол електронного аукціону на</w:t>
            </w:r>
            <w:r w:rsidRPr="00D120D2">
              <w:rPr>
                <w:sz w:val="21"/>
                <w:szCs w:val="21"/>
              </w:rPr>
              <w:t xml:space="preserve"> </w:t>
            </w:r>
            <w:r w:rsidRPr="00D120D2">
              <w:rPr>
                <w:b/>
                <w:sz w:val="20"/>
                <w:szCs w:val="20"/>
              </w:rPr>
              <w:t>протязі 6 (шести) робочих днів з дня наступного за днем його формування.</w:t>
            </w:r>
            <w:r w:rsidR="00D56525" w:rsidRPr="00D120D2">
              <w:rPr>
                <w:b/>
                <w:bCs/>
                <w:color w:val="333333"/>
                <w:sz w:val="20"/>
                <w:szCs w:val="20"/>
              </w:rPr>
              <w:br/>
              <w:t>∙ здійснити повну оплату коштів за лот, які повинні надійти на рахунок банку не пізніше кінця 18 (вісімнадцятого) робочого дня з дати формування ЦБД протоколу електронного аукціону.</w:t>
            </w:r>
            <w:r w:rsidR="00D56525" w:rsidRPr="00D120D2">
              <w:rPr>
                <w:b/>
                <w:bCs/>
                <w:color w:val="333333"/>
                <w:sz w:val="20"/>
                <w:szCs w:val="20"/>
              </w:rPr>
              <w:br/>
              <w:t>∙ підписати договір купівлі-продажу придбаного майна протягом 20 (двадцяти) робочих днів з дня, наступного з д</w:t>
            </w:r>
            <w:r w:rsidRPr="00D120D2">
              <w:rPr>
                <w:b/>
                <w:bCs/>
                <w:color w:val="333333"/>
                <w:sz w:val="20"/>
                <w:szCs w:val="20"/>
              </w:rPr>
              <w:t>ати</w:t>
            </w:r>
            <w:r w:rsidR="00D56525" w:rsidRPr="00D120D2">
              <w:rPr>
                <w:b/>
                <w:bCs/>
                <w:color w:val="333333"/>
                <w:sz w:val="20"/>
                <w:szCs w:val="20"/>
              </w:rPr>
              <w:t xml:space="preserve"> формування </w:t>
            </w:r>
            <w:r w:rsidR="00305D1F" w:rsidRPr="00D120D2">
              <w:rPr>
                <w:b/>
                <w:bCs/>
                <w:color w:val="333333"/>
                <w:sz w:val="20"/>
                <w:szCs w:val="20"/>
              </w:rPr>
              <w:t xml:space="preserve">ЦБД </w:t>
            </w:r>
            <w:r w:rsidR="00D56525" w:rsidRPr="00D120D2">
              <w:rPr>
                <w:b/>
                <w:bCs/>
                <w:color w:val="333333"/>
                <w:sz w:val="20"/>
                <w:szCs w:val="20"/>
              </w:rPr>
              <w:t xml:space="preserve">протоколу електронного </w:t>
            </w:r>
            <w:r w:rsidR="00D56525" w:rsidRPr="00D120D2">
              <w:rPr>
                <w:b/>
                <w:bCs/>
                <w:color w:val="333333"/>
                <w:sz w:val="20"/>
                <w:szCs w:val="20"/>
              </w:rPr>
              <w:lastRenderedPageBreak/>
              <w:t>аукціону, з урахуванням Регламенту ЕТС.</w:t>
            </w:r>
          </w:p>
          <w:p w:rsidR="00305D1F" w:rsidRPr="00D120D2" w:rsidRDefault="00305D1F" w:rsidP="00305D1F">
            <w:pPr>
              <w:spacing w:after="0" w:line="240" w:lineRule="auto"/>
              <w:jc w:val="both"/>
              <w:rPr>
                <w:rFonts w:ascii="Times New Roman" w:eastAsia="Times New Roman" w:hAnsi="Times New Roman" w:cs="Times New Roman"/>
                <w:b/>
                <w:bCs/>
                <w:color w:val="333333"/>
                <w:sz w:val="20"/>
                <w:szCs w:val="20"/>
                <w:lang w:eastAsia="uk-UA"/>
              </w:rPr>
            </w:pPr>
            <w:r w:rsidRPr="00D120D2">
              <w:rPr>
                <w:rFonts w:ascii="Times New Roman" w:eastAsia="Times New Roman" w:hAnsi="Times New Roman" w:cs="Times New Roman"/>
                <w:b/>
                <w:bCs/>
                <w:color w:val="333333"/>
                <w:sz w:val="20"/>
                <w:szCs w:val="20"/>
                <w:lang w:eastAsia="uk-UA"/>
              </w:rPr>
              <w:t>∙ гарантійний внесок повертається операторами електронних майданчиків переможцю за вирахуванням встановленої винагороди організатора відкритих торгів (аукціону), але не раніше завершення аукціону в ЕТС.</w:t>
            </w:r>
          </w:p>
          <w:p w:rsidR="00305D1F" w:rsidRPr="00D120D2" w:rsidRDefault="00305D1F" w:rsidP="00305D1F">
            <w:pPr>
              <w:spacing w:after="0" w:line="240" w:lineRule="auto"/>
              <w:jc w:val="both"/>
              <w:rPr>
                <w:rFonts w:ascii="Times New Roman" w:eastAsia="Times New Roman" w:hAnsi="Times New Roman" w:cs="Times New Roman"/>
                <w:b/>
                <w:bCs/>
                <w:color w:val="333333"/>
                <w:sz w:val="20"/>
                <w:szCs w:val="20"/>
                <w:lang w:eastAsia="uk-UA"/>
              </w:rPr>
            </w:pPr>
            <w:r w:rsidRPr="00D120D2">
              <w:rPr>
                <w:rFonts w:ascii="Times New Roman" w:eastAsia="Times New Roman" w:hAnsi="Times New Roman" w:cs="Times New Roman"/>
                <w:b/>
                <w:bCs/>
                <w:color w:val="333333"/>
                <w:sz w:val="20"/>
                <w:szCs w:val="20"/>
                <w:lang w:eastAsia="uk-UA"/>
              </w:rPr>
              <w:t>∙ якщо переможець відкритих торгів (аукціону) не виконав зобов’язання з підписання електронного протоколу, повного розрахунку за майно та укладання відповідного(их) договору(ів) у встановлені Регламентом ЕТС строки, організатор відкритих торгів (аукціону) дискваліфікує такого учасника, та відповідно оператор майданчика перераховує банку кошти у розмірі гарантійного внеску такого переможця відкритих торгів (аукціону) в строки встановлені Регламентом ЕТС.</w:t>
            </w:r>
          </w:p>
          <w:p w:rsidR="00305D1F" w:rsidRPr="00D120D2" w:rsidRDefault="00305D1F" w:rsidP="00305D1F">
            <w:pPr>
              <w:spacing w:after="0" w:line="240" w:lineRule="auto"/>
              <w:jc w:val="both"/>
              <w:rPr>
                <w:rFonts w:ascii="Times New Roman" w:eastAsia="Times New Roman" w:hAnsi="Times New Roman" w:cs="Times New Roman"/>
                <w:b/>
                <w:bCs/>
                <w:color w:val="333333"/>
                <w:sz w:val="20"/>
                <w:szCs w:val="20"/>
                <w:lang w:eastAsia="uk-UA"/>
              </w:rPr>
            </w:pPr>
            <w:r w:rsidRPr="00D120D2">
              <w:rPr>
                <w:rFonts w:ascii="Times New Roman" w:eastAsia="Times New Roman" w:hAnsi="Times New Roman" w:cs="Times New Roman"/>
                <w:b/>
                <w:bCs/>
                <w:color w:val="333333"/>
                <w:sz w:val="20"/>
                <w:szCs w:val="20"/>
                <w:lang w:eastAsia="uk-UA"/>
              </w:rPr>
              <w:t>∙ гарантійні внески повертаються іншим учасникам відкритих торгів (аукціону), відповідно до умов Регламенту ЕТС.</w:t>
            </w:r>
          </w:p>
          <w:p w:rsidR="00305D1F" w:rsidRPr="00D120D2" w:rsidRDefault="00305D1F" w:rsidP="00D56525">
            <w:pPr>
              <w:pStyle w:val="a4"/>
              <w:spacing w:before="0" w:beforeAutospacing="0" w:after="0" w:afterAutospacing="0"/>
              <w:rPr>
                <w:b/>
                <w:bCs/>
                <w:color w:val="333333"/>
                <w:sz w:val="20"/>
                <w:szCs w:val="20"/>
              </w:rPr>
            </w:pPr>
          </w:p>
          <w:p w:rsidR="00D56525" w:rsidRPr="00D120D2" w:rsidRDefault="00D56525" w:rsidP="00D56525">
            <w:pPr>
              <w:pStyle w:val="a4"/>
              <w:spacing w:before="0" w:beforeAutospacing="0" w:after="0" w:afterAutospacing="0"/>
              <w:rPr>
                <w:b/>
                <w:bCs/>
                <w:color w:val="333333"/>
                <w:sz w:val="20"/>
                <w:szCs w:val="20"/>
              </w:rPr>
            </w:pPr>
            <w:r w:rsidRPr="00D120D2">
              <w:rPr>
                <w:b/>
                <w:bCs/>
                <w:color w:val="333333"/>
                <w:sz w:val="20"/>
                <w:szCs w:val="20"/>
              </w:rPr>
              <w:t>Продаж активів здійснюється із застосуванням грошової форми розрахунків.</w:t>
            </w:r>
          </w:p>
          <w:p w:rsidR="00D56525" w:rsidRPr="00D120D2" w:rsidRDefault="00D56525" w:rsidP="00D56525">
            <w:pPr>
              <w:pStyle w:val="a4"/>
              <w:spacing w:before="0" w:beforeAutospacing="0" w:after="0" w:afterAutospacing="0"/>
              <w:rPr>
                <w:b/>
                <w:bCs/>
                <w:color w:val="333333"/>
                <w:sz w:val="20"/>
                <w:szCs w:val="20"/>
              </w:rPr>
            </w:pPr>
          </w:p>
          <w:p w:rsidR="00D56525" w:rsidRPr="00D120D2" w:rsidRDefault="00D56525" w:rsidP="00D56525">
            <w:pPr>
              <w:pStyle w:val="a4"/>
              <w:spacing w:before="0" w:beforeAutospacing="0" w:after="0" w:afterAutospacing="0"/>
              <w:rPr>
                <w:b/>
                <w:bCs/>
                <w:color w:val="333333"/>
                <w:sz w:val="20"/>
                <w:szCs w:val="20"/>
              </w:rPr>
            </w:pPr>
            <w:r w:rsidRPr="00D120D2">
              <w:rPr>
                <w:b/>
                <w:bCs/>
                <w:color w:val="333333"/>
                <w:sz w:val="20"/>
                <w:szCs w:val="20"/>
              </w:rPr>
              <w:t xml:space="preserve">Кожний учасник відкритих торгів (аукціону) погоджується з Регламентом роботи електронної торгової системи ЦБД 2 щодо проведення відкритих торгів (аукціонів) </w:t>
            </w:r>
            <w:r w:rsidRPr="00D120D2">
              <w:rPr>
                <w:b/>
                <w:sz w:val="20"/>
                <w:szCs w:val="20"/>
              </w:rPr>
              <w:t>предметом продажу за яким є заставне майно боржників або їх майнових поручителів</w:t>
            </w:r>
            <w:r w:rsidRPr="00D120D2">
              <w:rPr>
                <w:b/>
                <w:bCs/>
                <w:color w:val="333333"/>
                <w:sz w:val="20"/>
                <w:szCs w:val="20"/>
              </w:rPr>
              <w:t xml:space="preserve">, який розміщений на веб-сайті </w:t>
            </w:r>
            <w:r w:rsidR="00616429" w:rsidRPr="00D120D2">
              <w:rPr>
                <w:b/>
                <w:bCs/>
                <w:color w:val="333333"/>
                <w:sz w:val="20"/>
                <w:szCs w:val="20"/>
              </w:rPr>
              <w:t>оператора електронного майданчика</w:t>
            </w:r>
            <w:r w:rsidRPr="00D120D2">
              <w:rPr>
                <w:b/>
                <w:bCs/>
                <w:color w:val="333333"/>
                <w:sz w:val="20"/>
                <w:szCs w:val="20"/>
              </w:rPr>
              <w:t xml:space="preserve"> відкритих торгів (аукціонів), та зобов’язаний у разі визнання його переможцем сплатити такому </w:t>
            </w:r>
            <w:r w:rsidR="00616429" w:rsidRPr="00D120D2">
              <w:rPr>
                <w:b/>
                <w:bCs/>
                <w:color w:val="333333"/>
                <w:sz w:val="20"/>
                <w:szCs w:val="20"/>
              </w:rPr>
              <w:t xml:space="preserve">оператору електронного майданчика </w:t>
            </w:r>
            <w:r w:rsidRPr="00D120D2">
              <w:rPr>
                <w:b/>
                <w:bCs/>
                <w:color w:val="333333"/>
                <w:sz w:val="20"/>
                <w:szCs w:val="20"/>
              </w:rPr>
              <w:t>відкритих торгів (аукціонів) винагороду за проведення аукціону.</w:t>
            </w:r>
          </w:p>
          <w:p w:rsidR="00305D1F" w:rsidRPr="00D120D2" w:rsidRDefault="00305D1F" w:rsidP="00D56525">
            <w:pPr>
              <w:pStyle w:val="a4"/>
              <w:spacing w:before="0" w:beforeAutospacing="0" w:after="0" w:afterAutospacing="0"/>
              <w:rPr>
                <w:b/>
                <w:bCs/>
                <w:color w:val="333333"/>
                <w:sz w:val="20"/>
                <w:szCs w:val="20"/>
              </w:rPr>
            </w:pPr>
          </w:p>
          <w:p w:rsidR="00D56525" w:rsidRPr="00D120D2" w:rsidRDefault="00305D1F" w:rsidP="00D56525">
            <w:pPr>
              <w:pStyle w:val="a4"/>
              <w:spacing w:before="0" w:beforeAutospacing="0" w:after="0" w:afterAutospacing="0"/>
              <w:rPr>
                <w:b/>
                <w:bCs/>
                <w:i/>
                <w:iCs/>
                <w:color w:val="333333"/>
                <w:sz w:val="20"/>
                <w:szCs w:val="20"/>
              </w:rPr>
            </w:pPr>
            <w:r w:rsidRPr="00D120D2">
              <w:rPr>
                <w:b/>
                <w:bCs/>
                <w:i/>
                <w:iCs/>
                <w:color w:val="333333"/>
                <w:sz w:val="20"/>
                <w:szCs w:val="20"/>
              </w:rPr>
              <w:t>Повторні</w:t>
            </w:r>
            <w:r w:rsidR="00D56525" w:rsidRPr="00D120D2">
              <w:rPr>
                <w:b/>
                <w:bCs/>
                <w:i/>
                <w:iCs/>
                <w:color w:val="333333"/>
                <w:sz w:val="20"/>
                <w:szCs w:val="20"/>
              </w:rPr>
              <w:t xml:space="preserve"> відкриті торги (аукціон), </w:t>
            </w:r>
            <w:r w:rsidRPr="00D120D2">
              <w:rPr>
                <w:b/>
                <w:bCs/>
                <w:i/>
                <w:iCs/>
                <w:color w:val="333333"/>
                <w:sz w:val="20"/>
                <w:szCs w:val="20"/>
              </w:rPr>
              <w:t xml:space="preserve">другі повторні </w:t>
            </w:r>
            <w:r w:rsidR="00D56525" w:rsidRPr="00D120D2">
              <w:rPr>
                <w:b/>
                <w:bCs/>
                <w:i/>
                <w:iCs/>
                <w:color w:val="333333"/>
                <w:sz w:val="20"/>
                <w:szCs w:val="20"/>
              </w:rPr>
              <w:t>відкриті торги (аукціон) відбуваються у випадку, якщо не відбулись попередні відкриті торги (аукціон).</w:t>
            </w:r>
          </w:p>
          <w:p w:rsidR="00D56525" w:rsidRPr="00D120D2" w:rsidRDefault="00D56525" w:rsidP="00D56525">
            <w:pPr>
              <w:pStyle w:val="a4"/>
              <w:spacing w:before="0" w:beforeAutospacing="0" w:after="0" w:afterAutospacing="0"/>
              <w:rPr>
                <w:b/>
                <w:bCs/>
                <w:color w:val="333333"/>
                <w:sz w:val="20"/>
                <w:szCs w:val="20"/>
              </w:rPr>
            </w:pPr>
          </w:p>
          <w:p w:rsidR="00D56525" w:rsidRPr="00D120D2" w:rsidRDefault="00D56525" w:rsidP="00D56525">
            <w:pPr>
              <w:pStyle w:val="a4"/>
              <w:spacing w:before="0" w:beforeAutospacing="0" w:after="0" w:afterAutospacing="0"/>
              <w:rPr>
                <w:b/>
                <w:bCs/>
                <w:color w:val="333333"/>
                <w:sz w:val="20"/>
                <w:szCs w:val="20"/>
              </w:rPr>
            </w:pPr>
            <w:r w:rsidRPr="00D120D2">
              <w:rPr>
                <w:b/>
                <w:bCs/>
                <w:color w:val="333333"/>
                <w:sz w:val="20"/>
                <w:szCs w:val="20"/>
              </w:rPr>
              <w:t xml:space="preserve">Всі витрати у зв’язку з укладанням та </w:t>
            </w:r>
            <w:r w:rsidR="00915F1A" w:rsidRPr="00D120D2">
              <w:rPr>
                <w:b/>
                <w:bCs/>
                <w:color w:val="333333"/>
                <w:sz w:val="20"/>
                <w:szCs w:val="20"/>
              </w:rPr>
              <w:t xml:space="preserve">реєстрації </w:t>
            </w:r>
            <w:r w:rsidRPr="00D120D2">
              <w:rPr>
                <w:b/>
                <w:bCs/>
                <w:color w:val="333333"/>
                <w:sz w:val="20"/>
                <w:szCs w:val="20"/>
              </w:rPr>
              <w:t xml:space="preserve">договорів </w:t>
            </w:r>
            <w:r w:rsidR="00915F1A" w:rsidRPr="00D120D2">
              <w:rPr>
                <w:b/>
                <w:bCs/>
                <w:color w:val="333333"/>
                <w:sz w:val="20"/>
                <w:szCs w:val="20"/>
              </w:rPr>
              <w:t>купівлі</w:t>
            </w:r>
            <w:r w:rsidR="00876513" w:rsidRPr="00D120D2">
              <w:rPr>
                <w:b/>
                <w:bCs/>
                <w:color w:val="333333"/>
                <w:sz w:val="20"/>
                <w:szCs w:val="20"/>
              </w:rPr>
              <w:t>-</w:t>
            </w:r>
            <w:r w:rsidR="00915F1A" w:rsidRPr="00D120D2">
              <w:rPr>
                <w:b/>
                <w:bCs/>
                <w:color w:val="333333"/>
                <w:sz w:val="20"/>
                <w:szCs w:val="20"/>
              </w:rPr>
              <w:t>продажу</w:t>
            </w:r>
            <w:r w:rsidRPr="00D120D2">
              <w:rPr>
                <w:b/>
                <w:bCs/>
                <w:color w:val="333333"/>
                <w:sz w:val="20"/>
                <w:szCs w:val="20"/>
              </w:rPr>
              <w:t xml:space="preserve"> несе покупець.</w:t>
            </w:r>
          </w:p>
          <w:p w:rsidR="00D56525" w:rsidRPr="00D120D2" w:rsidRDefault="00D56525" w:rsidP="00D56525">
            <w:pPr>
              <w:pStyle w:val="a4"/>
              <w:spacing w:before="0" w:beforeAutospacing="0" w:after="0" w:afterAutospacing="0"/>
              <w:rPr>
                <w:b/>
                <w:bCs/>
                <w:color w:val="333333"/>
                <w:sz w:val="20"/>
                <w:szCs w:val="20"/>
              </w:rPr>
            </w:pPr>
          </w:p>
          <w:p w:rsidR="00D56525" w:rsidRPr="00D120D2" w:rsidRDefault="00D56525" w:rsidP="00D56525">
            <w:pPr>
              <w:pStyle w:val="a4"/>
              <w:spacing w:before="0" w:beforeAutospacing="0" w:after="0" w:afterAutospacing="0"/>
              <w:contextualSpacing/>
              <w:rPr>
                <w:b/>
                <w:bCs/>
                <w:color w:val="333333"/>
                <w:sz w:val="20"/>
                <w:szCs w:val="20"/>
              </w:rPr>
            </w:pPr>
            <w:r w:rsidRPr="00D120D2">
              <w:rPr>
                <w:b/>
                <w:bCs/>
                <w:color w:val="333333"/>
                <w:sz w:val="20"/>
                <w:szCs w:val="20"/>
              </w:rPr>
              <w:t>Потенційним покупцем не може бути Російська Федерація або особи, пов`язані з державою-агресором, а саме:</w:t>
            </w:r>
            <w:r w:rsidRPr="00D120D2">
              <w:rPr>
                <w:b/>
                <w:bCs/>
                <w:color w:val="333333"/>
                <w:sz w:val="20"/>
                <w:szCs w:val="20"/>
              </w:rPr>
              <w:br/>
              <w:t>- громадяни Російської Федерації, крім тих, що проживають на території України на законних підставах;</w:t>
            </w:r>
            <w:r w:rsidRPr="00D120D2">
              <w:rPr>
                <w:b/>
                <w:bCs/>
                <w:color w:val="333333"/>
                <w:sz w:val="20"/>
                <w:szCs w:val="20"/>
              </w:rPr>
              <w:br/>
              <w:t>- юридичні особи, створені та зареєстровані відповідно до законодавства Російської Федерації;</w:t>
            </w:r>
            <w:r w:rsidRPr="00D120D2">
              <w:rPr>
                <w:b/>
                <w:bCs/>
                <w:color w:val="333333"/>
                <w:sz w:val="20"/>
                <w:szCs w:val="20"/>
              </w:rPr>
              <w:br/>
              <w:t>- юридичні особи, створені та зареєстровані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якої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w:t>
            </w:r>
          </w:p>
        </w:tc>
      </w:tr>
    </w:tbl>
    <w:p w:rsidR="00E11516" w:rsidRPr="00D120D2" w:rsidRDefault="00E11516" w:rsidP="00C24C7C">
      <w:pPr>
        <w:spacing w:after="0" w:line="240" w:lineRule="auto"/>
        <w:rPr>
          <w:rFonts w:ascii="Times New Roman" w:hAnsi="Times New Roman" w:cs="Times New Roman"/>
        </w:rPr>
      </w:pPr>
    </w:p>
    <w:sectPr w:rsidR="00E11516" w:rsidRPr="00D120D2" w:rsidSect="00FE2C2A">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Segoe UI">
    <w:altName w:val="Times New Roman"/>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F0554"/>
    <w:multiLevelType w:val="hybridMultilevel"/>
    <w:tmpl w:val="2808261C"/>
    <w:lvl w:ilvl="0" w:tplc="A7AC20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E84E36"/>
    <w:multiLevelType w:val="hybridMultilevel"/>
    <w:tmpl w:val="450E84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E2C2A"/>
    <w:rsid w:val="00011C1A"/>
    <w:rsid w:val="00013F87"/>
    <w:rsid w:val="00057167"/>
    <w:rsid w:val="000821B4"/>
    <w:rsid w:val="000901E7"/>
    <w:rsid w:val="000A1AC9"/>
    <w:rsid w:val="000B1AB6"/>
    <w:rsid w:val="000D240B"/>
    <w:rsid w:val="001142DE"/>
    <w:rsid w:val="001168BE"/>
    <w:rsid w:val="00131190"/>
    <w:rsid w:val="001319AC"/>
    <w:rsid w:val="00144627"/>
    <w:rsid w:val="001713C6"/>
    <w:rsid w:val="001A09D9"/>
    <w:rsid w:val="001A710F"/>
    <w:rsid w:val="001C2D0D"/>
    <w:rsid w:val="002201BA"/>
    <w:rsid w:val="00225DFC"/>
    <w:rsid w:val="00240664"/>
    <w:rsid w:val="00250FC0"/>
    <w:rsid w:val="0026028F"/>
    <w:rsid w:val="002733BF"/>
    <w:rsid w:val="002B1B3E"/>
    <w:rsid w:val="002B2150"/>
    <w:rsid w:val="002D4A2E"/>
    <w:rsid w:val="002D79DB"/>
    <w:rsid w:val="00302060"/>
    <w:rsid w:val="00305D1F"/>
    <w:rsid w:val="003112E4"/>
    <w:rsid w:val="003304D7"/>
    <w:rsid w:val="00343FD6"/>
    <w:rsid w:val="003A6BB4"/>
    <w:rsid w:val="003E5937"/>
    <w:rsid w:val="003F4230"/>
    <w:rsid w:val="00414449"/>
    <w:rsid w:val="00416BE0"/>
    <w:rsid w:val="0046268C"/>
    <w:rsid w:val="0046516C"/>
    <w:rsid w:val="00480715"/>
    <w:rsid w:val="004A560D"/>
    <w:rsid w:val="004D3BE0"/>
    <w:rsid w:val="004E0814"/>
    <w:rsid w:val="005A42E8"/>
    <w:rsid w:val="00616429"/>
    <w:rsid w:val="00621167"/>
    <w:rsid w:val="0066363C"/>
    <w:rsid w:val="00675794"/>
    <w:rsid w:val="006902E9"/>
    <w:rsid w:val="006B3A5D"/>
    <w:rsid w:val="006E2799"/>
    <w:rsid w:val="00723B59"/>
    <w:rsid w:val="00742B99"/>
    <w:rsid w:val="00765442"/>
    <w:rsid w:val="00782209"/>
    <w:rsid w:val="007B26FD"/>
    <w:rsid w:val="0085602E"/>
    <w:rsid w:val="00862D8B"/>
    <w:rsid w:val="00876513"/>
    <w:rsid w:val="008920AE"/>
    <w:rsid w:val="008B65C4"/>
    <w:rsid w:val="008B754D"/>
    <w:rsid w:val="008E1B3E"/>
    <w:rsid w:val="008E2AD5"/>
    <w:rsid w:val="008F480E"/>
    <w:rsid w:val="00915F1A"/>
    <w:rsid w:val="009807FD"/>
    <w:rsid w:val="00985C51"/>
    <w:rsid w:val="009B0A42"/>
    <w:rsid w:val="009B26BD"/>
    <w:rsid w:val="009C1E74"/>
    <w:rsid w:val="009D0762"/>
    <w:rsid w:val="00A306BD"/>
    <w:rsid w:val="00A44BBF"/>
    <w:rsid w:val="00A66D87"/>
    <w:rsid w:val="00A76F37"/>
    <w:rsid w:val="00A849B4"/>
    <w:rsid w:val="00AC1C2C"/>
    <w:rsid w:val="00AD31B9"/>
    <w:rsid w:val="00AE2E5C"/>
    <w:rsid w:val="00B06D80"/>
    <w:rsid w:val="00B259C2"/>
    <w:rsid w:val="00B3340C"/>
    <w:rsid w:val="00B41EFB"/>
    <w:rsid w:val="00B44154"/>
    <w:rsid w:val="00B45C23"/>
    <w:rsid w:val="00BA0451"/>
    <w:rsid w:val="00BA3F10"/>
    <w:rsid w:val="00BE0461"/>
    <w:rsid w:val="00BE55B2"/>
    <w:rsid w:val="00C14751"/>
    <w:rsid w:val="00C24C7C"/>
    <w:rsid w:val="00C63573"/>
    <w:rsid w:val="00D120D2"/>
    <w:rsid w:val="00D40135"/>
    <w:rsid w:val="00D56525"/>
    <w:rsid w:val="00D77127"/>
    <w:rsid w:val="00DC4C41"/>
    <w:rsid w:val="00DE72A7"/>
    <w:rsid w:val="00E11516"/>
    <w:rsid w:val="00E155F7"/>
    <w:rsid w:val="00E55E2D"/>
    <w:rsid w:val="00E75B6F"/>
    <w:rsid w:val="00E844D4"/>
    <w:rsid w:val="00E968FB"/>
    <w:rsid w:val="00EA6614"/>
    <w:rsid w:val="00EA69BD"/>
    <w:rsid w:val="00EE08BA"/>
    <w:rsid w:val="00EF0578"/>
    <w:rsid w:val="00F13759"/>
    <w:rsid w:val="00F22FFD"/>
    <w:rsid w:val="00F233BD"/>
    <w:rsid w:val="00F2528C"/>
    <w:rsid w:val="00FB4704"/>
    <w:rsid w:val="00FE0F7F"/>
    <w:rsid w:val="00FE2C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8288B1-AE91-4B84-B594-28C644AB8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7FD"/>
  </w:style>
  <w:style w:type="paragraph" w:styleId="2">
    <w:name w:val="heading 2"/>
    <w:basedOn w:val="a"/>
    <w:link w:val="20"/>
    <w:uiPriority w:val="9"/>
    <w:qFormat/>
    <w:rsid w:val="00FE2C2A"/>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E2C2A"/>
    <w:rPr>
      <w:rFonts w:ascii="Times New Roman" w:eastAsia="Times New Roman" w:hAnsi="Times New Roman" w:cs="Times New Roman"/>
      <w:b/>
      <w:bCs/>
      <w:sz w:val="36"/>
      <w:szCs w:val="36"/>
      <w:lang w:eastAsia="uk-UA"/>
    </w:rPr>
  </w:style>
  <w:style w:type="character" w:styleId="a3">
    <w:name w:val="Hyperlink"/>
    <w:basedOn w:val="a0"/>
    <w:uiPriority w:val="99"/>
    <w:semiHidden/>
    <w:unhideWhenUsed/>
    <w:rsid w:val="00FE2C2A"/>
    <w:rPr>
      <w:color w:val="0000FF"/>
      <w:u w:val="single"/>
    </w:rPr>
  </w:style>
  <w:style w:type="paragraph" w:styleId="a4">
    <w:name w:val="Normal (Web)"/>
    <w:basedOn w:val="a"/>
    <w:uiPriority w:val="99"/>
    <w:unhideWhenUsed/>
    <w:rsid w:val="00FE2C2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FollowedHyperlink"/>
    <w:basedOn w:val="a0"/>
    <w:uiPriority w:val="99"/>
    <w:semiHidden/>
    <w:unhideWhenUsed/>
    <w:rsid w:val="00A76F37"/>
    <w:rPr>
      <w:color w:val="800080" w:themeColor="followedHyperlink"/>
      <w:u w:val="single"/>
    </w:rPr>
  </w:style>
  <w:style w:type="character" w:customStyle="1" w:styleId="object">
    <w:name w:val="object"/>
    <w:basedOn w:val="a0"/>
    <w:rsid w:val="00A76F37"/>
  </w:style>
  <w:style w:type="paragraph" w:styleId="a6">
    <w:name w:val="No Spacing"/>
    <w:uiPriority w:val="1"/>
    <w:qFormat/>
    <w:rsid w:val="009807FD"/>
    <w:pPr>
      <w:spacing w:after="0" w:line="240" w:lineRule="auto"/>
    </w:pPr>
  </w:style>
  <w:style w:type="paragraph" w:styleId="a7">
    <w:name w:val="Balloon Text"/>
    <w:basedOn w:val="a"/>
    <w:link w:val="a8"/>
    <w:uiPriority w:val="99"/>
    <w:semiHidden/>
    <w:unhideWhenUsed/>
    <w:rsid w:val="00144627"/>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144627"/>
    <w:rPr>
      <w:rFonts w:ascii="Segoe UI" w:hAnsi="Segoe UI" w:cs="Segoe UI"/>
      <w:sz w:val="18"/>
      <w:szCs w:val="18"/>
    </w:rPr>
  </w:style>
  <w:style w:type="paragraph" w:styleId="a9">
    <w:name w:val="List Paragraph"/>
    <w:basedOn w:val="a"/>
    <w:uiPriority w:val="34"/>
    <w:qFormat/>
    <w:rsid w:val="004A5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84979">
      <w:bodyDiv w:val="1"/>
      <w:marLeft w:val="0"/>
      <w:marRight w:val="0"/>
      <w:marTop w:val="0"/>
      <w:marBottom w:val="0"/>
      <w:divBdr>
        <w:top w:val="none" w:sz="0" w:space="0" w:color="auto"/>
        <w:left w:val="none" w:sz="0" w:space="0" w:color="auto"/>
        <w:bottom w:val="none" w:sz="0" w:space="0" w:color="auto"/>
        <w:right w:val="none" w:sz="0" w:space="0" w:color="auto"/>
      </w:divBdr>
    </w:div>
    <w:div w:id="183397949">
      <w:bodyDiv w:val="1"/>
      <w:marLeft w:val="0"/>
      <w:marRight w:val="0"/>
      <w:marTop w:val="0"/>
      <w:marBottom w:val="0"/>
      <w:divBdr>
        <w:top w:val="none" w:sz="0" w:space="0" w:color="auto"/>
        <w:left w:val="none" w:sz="0" w:space="0" w:color="auto"/>
        <w:bottom w:val="none" w:sz="0" w:space="0" w:color="auto"/>
        <w:right w:val="none" w:sz="0" w:space="0" w:color="auto"/>
      </w:divBdr>
      <w:divsChild>
        <w:div w:id="2079012348">
          <w:marLeft w:val="0"/>
          <w:marRight w:val="0"/>
          <w:marTop w:val="0"/>
          <w:marBottom w:val="900"/>
          <w:divBdr>
            <w:top w:val="none" w:sz="0" w:space="0" w:color="auto"/>
            <w:left w:val="none" w:sz="0" w:space="0" w:color="auto"/>
            <w:bottom w:val="none" w:sz="0" w:space="0" w:color="auto"/>
            <w:right w:val="none" w:sz="0" w:space="0" w:color="auto"/>
          </w:divBdr>
        </w:div>
      </w:divsChild>
    </w:div>
    <w:div w:id="475607541">
      <w:bodyDiv w:val="1"/>
      <w:marLeft w:val="0"/>
      <w:marRight w:val="0"/>
      <w:marTop w:val="0"/>
      <w:marBottom w:val="0"/>
      <w:divBdr>
        <w:top w:val="none" w:sz="0" w:space="0" w:color="auto"/>
        <w:left w:val="none" w:sz="0" w:space="0" w:color="auto"/>
        <w:bottom w:val="none" w:sz="0" w:space="0" w:color="auto"/>
        <w:right w:val="none" w:sz="0" w:space="0" w:color="auto"/>
      </w:divBdr>
      <w:divsChild>
        <w:div w:id="1199078406">
          <w:marLeft w:val="0"/>
          <w:marRight w:val="0"/>
          <w:marTop w:val="0"/>
          <w:marBottom w:val="751"/>
          <w:divBdr>
            <w:top w:val="none" w:sz="0" w:space="0" w:color="auto"/>
            <w:left w:val="none" w:sz="0" w:space="0" w:color="auto"/>
            <w:bottom w:val="none" w:sz="0" w:space="0" w:color="auto"/>
            <w:right w:val="none" w:sz="0" w:space="0" w:color="auto"/>
          </w:divBdr>
        </w:div>
      </w:divsChild>
    </w:div>
    <w:div w:id="1012072765">
      <w:bodyDiv w:val="1"/>
      <w:marLeft w:val="0"/>
      <w:marRight w:val="0"/>
      <w:marTop w:val="0"/>
      <w:marBottom w:val="0"/>
      <w:divBdr>
        <w:top w:val="none" w:sz="0" w:space="0" w:color="auto"/>
        <w:left w:val="none" w:sz="0" w:space="0" w:color="auto"/>
        <w:bottom w:val="none" w:sz="0" w:space="0" w:color="auto"/>
        <w:right w:val="none" w:sz="0" w:space="0" w:color="auto"/>
      </w:divBdr>
      <w:divsChild>
        <w:div w:id="1072194585">
          <w:marLeft w:val="0"/>
          <w:marRight w:val="0"/>
          <w:marTop w:val="0"/>
          <w:marBottom w:val="751"/>
          <w:divBdr>
            <w:top w:val="none" w:sz="0" w:space="0" w:color="auto"/>
            <w:left w:val="none" w:sz="0" w:space="0" w:color="auto"/>
            <w:bottom w:val="none" w:sz="0" w:space="0" w:color="auto"/>
            <w:right w:val="none" w:sz="0" w:space="0" w:color="auto"/>
          </w:divBdr>
        </w:div>
      </w:divsChild>
    </w:div>
    <w:div w:id="1435397716">
      <w:bodyDiv w:val="1"/>
      <w:marLeft w:val="0"/>
      <w:marRight w:val="0"/>
      <w:marTop w:val="0"/>
      <w:marBottom w:val="0"/>
      <w:divBdr>
        <w:top w:val="none" w:sz="0" w:space="0" w:color="auto"/>
        <w:left w:val="none" w:sz="0" w:space="0" w:color="auto"/>
        <w:bottom w:val="none" w:sz="0" w:space="0" w:color="auto"/>
        <w:right w:val="none" w:sz="0" w:space="0" w:color="auto"/>
      </w:divBdr>
      <w:divsChild>
        <w:div w:id="1570725753">
          <w:marLeft w:val="0"/>
          <w:marRight w:val="0"/>
          <w:marTop w:val="0"/>
          <w:marBottom w:val="900"/>
          <w:divBdr>
            <w:top w:val="none" w:sz="0" w:space="0" w:color="auto"/>
            <w:left w:val="none" w:sz="0" w:space="0" w:color="auto"/>
            <w:bottom w:val="none" w:sz="0" w:space="0" w:color="auto"/>
            <w:right w:val="none" w:sz="0" w:space="0" w:color="auto"/>
          </w:divBdr>
        </w:div>
      </w:divsChild>
    </w:div>
    <w:div w:id="1513034999">
      <w:bodyDiv w:val="1"/>
      <w:marLeft w:val="0"/>
      <w:marRight w:val="0"/>
      <w:marTop w:val="0"/>
      <w:marBottom w:val="0"/>
      <w:divBdr>
        <w:top w:val="none" w:sz="0" w:space="0" w:color="auto"/>
        <w:left w:val="none" w:sz="0" w:space="0" w:color="auto"/>
        <w:bottom w:val="none" w:sz="0" w:space="0" w:color="auto"/>
        <w:right w:val="none" w:sz="0" w:space="0" w:color="auto"/>
      </w:divBdr>
    </w:div>
    <w:div w:id="1665350587">
      <w:bodyDiv w:val="1"/>
      <w:marLeft w:val="0"/>
      <w:marRight w:val="0"/>
      <w:marTop w:val="0"/>
      <w:marBottom w:val="0"/>
      <w:divBdr>
        <w:top w:val="none" w:sz="0" w:space="0" w:color="auto"/>
        <w:left w:val="none" w:sz="0" w:space="0" w:color="auto"/>
        <w:bottom w:val="none" w:sz="0" w:space="0" w:color="auto"/>
        <w:right w:val="none" w:sz="0" w:space="0" w:color="auto"/>
      </w:divBdr>
      <w:divsChild>
        <w:div w:id="1887989910">
          <w:marLeft w:val="0"/>
          <w:marRight w:val="0"/>
          <w:marTop w:val="0"/>
          <w:marBottom w:val="900"/>
          <w:divBdr>
            <w:top w:val="none" w:sz="0" w:space="0" w:color="auto"/>
            <w:left w:val="none" w:sz="0" w:space="0" w:color="auto"/>
            <w:bottom w:val="none" w:sz="0" w:space="0" w:color="auto"/>
            <w:right w:val="none" w:sz="0" w:space="0" w:color="auto"/>
          </w:divBdr>
        </w:div>
      </w:divsChild>
    </w:div>
    <w:div w:id="1831208680">
      <w:bodyDiv w:val="1"/>
      <w:marLeft w:val="0"/>
      <w:marRight w:val="0"/>
      <w:marTop w:val="0"/>
      <w:marBottom w:val="0"/>
      <w:divBdr>
        <w:top w:val="none" w:sz="0" w:space="0" w:color="auto"/>
        <w:left w:val="none" w:sz="0" w:space="0" w:color="auto"/>
        <w:bottom w:val="none" w:sz="0" w:space="0" w:color="auto"/>
        <w:right w:val="none" w:sz="0" w:space="0" w:color="auto"/>
      </w:divBdr>
      <w:divsChild>
        <w:div w:id="1796606446">
          <w:marLeft w:val="0"/>
          <w:marRight w:val="0"/>
          <w:marTop w:val="0"/>
          <w:marBottom w:val="751"/>
          <w:divBdr>
            <w:top w:val="none" w:sz="0" w:space="0" w:color="auto"/>
            <w:left w:val="none" w:sz="0" w:space="0" w:color="auto"/>
            <w:bottom w:val="none" w:sz="0" w:space="0" w:color="auto"/>
            <w:right w:val="none" w:sz="0" w:space="0" w:color="auto"/>
          </w:divBdr>
        </w:div>
      </w:divsChild>
    </w:div>
    <w:div w:id="204134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ozorro.sal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708</TotalTime>
  <Pages>4</Pages>
  <Words>5013</Words>
  <Characters>2858</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v.brik</dc:creator>
  <cp:lastModifiedBy>Курений Олександр Вікторович</cp:lastModifiedBy>
  <cp:revision>94</cp:revision>
  <cp:lastPrinted>2023-05-01T09:41:00Z</cp:lastPrinted>
  <dcterms:created xsi:type="dcterms:W3CDTF">2023-04-14T07:39:00Z</dcterms:created>
  <dcterms:modified xsi:type="dcterms:W3CDTF">2023-07-21T12:22:00Z</dcterms:modified>
</cp:coreProperties>
</file>